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3"/>
        <w:ind w:firstLine="0"/>
        <w:jc w:val="center"/>
        <w:rPr>
          <w:rFonts w:ascii="文鼎大标宋简" w:eastAsia="文鼎大标宋简"/>
          <w:b/>
          <w:sz w:val="44"/>
          <w:szCs w:val="44"/>
        </w:rPr>
      </w:pPr>
    </w:p>
    <w:p>
      <w:pPr>
        <w:pStyle w:val="23"/>
        <w:ind w:firstLine="0"/>
        <w:jc w:val="center"/>
        <w:rPr>
          <w:rFonts w:ascii="文鼎大标宋简" w:eastAsia="文鼎大标宋简"/>
          <w:b/>
          <w:sz w:val="44"/>
          <w:szCs w:val="44"/>
        </w:rPr>
      </w:pPr>
    </w:p>
    <w:p>
      <w:pPr>
        <w:pStyle w:val="23"/>
        <w:ind w:firstLine="0"/>
        <w:jc w:val="center"/>
        <w:rPr>
          <w:rFonts w:ascii="文鼎大标宋简" w:eastAsia="文鼎大标宋简"/>
          <w:b/>
          <w:sz w:val="44"/>
          <w:szCs w:val="44"/>
        </w:rPr>
      </w:pPr>
      <w:r>
        <w:rPr>
          <w:rFonts w:ascii="文鼎大标宋简" w:eastAsia="文鼎大标宋简"/>
          <w:b/>
          <w:caps/>
          <w:sz w:val="44"/>
          <w:szCs w:val="44"/>
          <w:lang w:bidi="ar-SA"/>
        </w:rPr>
        <w:drawing>
          <wp:inline distT="0" distB="0" distL="0" distR="0">
            <wp:extent cx="838200" cy="1152525"/>
            <wp:effectExtent l="0" t="0" r="0" b="9525"/>
            <wp:docPr id="3" name="图片 3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3"/>
        <w:ind w:firstLine="0"/>
        <w:jc w:val="center"/>
        <w:rPr>
          <w:rFonts w:ascii="文鼎大标宋简" w:eastAsia="文鼎大标宋简"/>
          <w:b/>
          <w:sz w:val="44"/>
          <w:szCs w:val="44"/>
        </w:rPr>
      </w:pPr>
    </w:p>
    <w:p>
      <w:pPr>
        <w:spacing w:line="800" w:lineRule="exact"/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 xml:space="preserve"> 广州市第六届建筑工匠技能擂台赛</w:t>
      </w:r>
    </w:p>
    <w:p>
      <w:pPr>
        <w:spacing w:line="800" w:lineRule="exact"/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（铝模工）</w:t>
      </w:r>
    </w:p>
    <w:p>
      <w:pPr>
        <w:jc w:val="both"/>
        <w:rPr>
          <w:b/>
          <w:bCs/>
          <w:sz w:val="44"/>
          <w:szCs w:val="44"/>
        </w:rPr>
      </w:pPr>
    </w:p>
    <w:p>
      <w:pPr>
        <w:jc w:val="center"/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>技</w:t>
      </w:r>
    </w:p>
    <w:p>
      <w:pPr>
        <w:jc w:val="center"/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>术</w:t>
      </w:r>
    </w:p>
    <w:p>
      <w:pPr>
        <w:jc w:val="center"/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>文</w:t>
      </w:r>
    </w:p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8"/>
          <w:szCs w:val="48"/>
        </w:rPr>
        <w:t>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jc w:val="center"/>
        <w:textAlignment w:val="auto"/>
        <w:rPr>
          <w:b/>
          <w:bCs/>
          <w:sz w:val="48"/>
          <w:szCs w:val="4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jc w:val="center"/>
        <w:textAlignment w:val="auto"/>
        <w:rPr>
          <w:b/>
          <w:bCs/>
          <w:sz w:val="48"/>
          <w:szCs w:val="4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jc w:val="center"/>
        <w:textAlignment w:val="auto"/>
        <w:rPr>
          <w:b/>
          <w:bCs/>
          <w:sz w:val="48"/>
          <w:szCs w:val="4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宋体"/>
          <w:b/>
          <w:bCs/>
          <w:kern w:val="2"/>
          <w:sz w:val="30"/>
          <w:szCs w:val="30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cs="宋体"/>
          <w:b/>
          <w:bCs/>
          <w:kern w:val="2"/>
          <w:sz w:val="30"/>
          <w:szCs w:val="30"/>
          <w:lang w:bidi="ar-SA"/>
        </w:rPr>
      </w:pPr>
      <w:r>
        <w:rPr>
          <w:rFonts w:hint="eastAsia" w:ascii="宋体" w:hAnsi="宋体" w:cs="宋体"/>
          <w:b/>
          <w:bCs/>
          <w:kern w:val="2"/>
          <w:sz w:val="30"/>
          <w:szCs w:val="30"/>
          <w:lang w:bidi="ar-SA"/>
        </w:rPr>
        <w:t>2021年</w:t>
      </w:r>
      <w:r>
        <w:rPr>
          <w:rFonts w:hint="eastAsia" w:cs="宋体"/>
          <w:b/>
          <w:bCs/>
          <w:kern w:val="2"/>
          <w:sz w:val="30"/>
          <w:szCs w:val="30"/>
          <w:lang w:val="en-US" w:eastAsia="zh-CN" w:bidi="ar-SA"/>
        </w:rPr>
        <w:t>8</w:t>
      </w:r>
      <w:r>
        <w:rPr>
          <w:rFonts w:hint="eastAsia" w:ascii="宋体" w:hAnsi="宋体" w:cs="宋体"/>
          <w:b/>
          <w:bCs/>
          <w:kern w:val="2"/>
          <w:sz w:val="30"/>
          <w:szCs w:val="30"/>
          <w:lang w:bidi="ar-SA"/>
        </w:rPr>
        <w:t>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cs="宋体"/>
          <w:b/>
          <w:bCs/>
          <w:kern w:val="2"/>
          <w:sz w:val="30"/>
          <w:szCs w:val="30"/>
          <w:lang w:bidi="ar-SA"/>
        </w:rPr>
        <w:sectPr>
          <w:headerReference r:id="rId4" w:type="first"/>
          <w:headerReference r:id="rId3" w:type="default"/>
          <w:footerReference r:id="rId5" w:type="even"/>
          <w:pgSz w:w="11907" w:h="16840"/>
          <w:pgMar w:top="1134" w:right="1417" w:bottom="1134" w:left="1417" w:header="851" w:footer="851" w:gutter="0"/>
          <w:paperSrc w:first="15" w:other="15"/>
          <w:cols w:space="720" w:num="1"/>
          <w:titlePg/>
          <w:docGrid w:linePitch="271" w:charSpace="0"/>
        </w:sectPr>
      </w:pPr>
      <w:r>
        <w:rPr>
          <w:rFonts w:hint="eastAsia" w:ascii="宋体" w:hAnsi="宋体" w:cs="宋体"/>
          <w:b/>
          <w:bCs/>
          <w:kern w:val="2"/>
          <w:sz w:val="30"/>
          <w:szCs w:val="30"/>
          <w:lang w:bidi="ar-SA"/>
        </w:rPr>
        <w:t>广州市第</w:t>
      </w:r>
      <w:r>
        <w:rPr>
          <w:rFonts w:hint="eastAsia" w:ascii="宋体" w:hAnsi="宋体" w:cs="宋体"/>
          <w:b/>
          <w:bCs/>
          <w:kern w:val="2"/>
          <w:sz w:val="30"/>
          <w:szCs w:val="30"/>
          <w:lang w:val="en-US" w:eastAsia="zh-CN" w:bidi="ar-SA"/>
        </w:rPr>
        <w:t>六</w:t>
      </w:r>
      <w:r>
        <w:rPr>
          <w:rFonts w:hint="eastAsia" w:ascii="宋体" w:hAnsi="宋体" w:cs="宋体"/>
          <w:b/>
          <w:bCs/>
          <w:kern w:val="2"/>
          <w:sz w:val="30"/>
          <w:szCs w:val="30"/>
          <w:lang w:bidi="ar-SA"/>
        </w:rPr>
        <w:t>届建筑工匠技能擂台赛组委会</w:t>
      </w:r>
    </w:p>
    <w:p>
      <w:pPr>
        <w:pStyle w:val="8"/>
        <w:widowControl/>
        <w:jc w:val="center"/>
        <w:rPr>
          <w:rFonts w:ascii="方正小标宋简体" w:eastAsia="方正小标宋简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bookmarkStart w:id="0" w:name="_Toc12905"/>
      <w:r>
        <w:rPr>
          <w:rFonts w:hint="eastAsia" w:ascii="方正小标宋简体" w:eastAsia="方正小标宋简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铝模工赛项技术文件</w:t>
      </w:r>
    </w:p>
    <w:p>
      <w:pPr>
        <w:pStyle w:val="2"/>
        <w:autoSpaceDE/>
        <w:autoSpaceDN/>
        <w:spacing w:line="360" w:lineRule="auto"/>
        <w:jc w:val="both"/>
        <w:rPr>
          <w:rFonts w:ascii="黑体" w:hAnsi="黑体" w:eastAsia="黑体" w:cs="黑体"/>
          <w:b w:val="0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sz w:val="24"/>
          <w:szCs w:val="24"/>
          <w:lang w:val="en-US" w:eastAsia="zh-CN" w:bidi="ar-SA"/>
        </w:rPr>
        <w:t>1.命题原则</w:t>
      </w:r>
      <w:bookmarkEnd w:id="0"/>
    </w:p>
    <w:p>
      <w:pPr>
        <w:autoSpaceDE/>
        <w:autoSpaceDN/>
        <w:spacing w:line="360" w:lineRule="auto"/>
        <w:ind w:firstLine="480" w:firstLineChars="200"/>
        <w:jc w:val="both"/>
        <w:rPr>
          <w:rFonts w:eastAsiaTheme="minorEastAsia"/>
          <w:kern w:val="2"/>
          <w:sz w:val="24"/>
          <w:szCs w:val="24"/>
          <w:lang w:bidi="ar-SA"/>
        </w:rPr>
      </w:pPr>
      <w:r>
        <w:rPr>
          <w:rFonts w:hint="eastAsia" w:eastAsiaTheme="minorEastAsia"/>
          <w:kern w:val="2"/>
          <w:sz w:val="24"/>
          <w:szCs w:val="24"/>
          <w:lang w:bidi="ar-SA"/>
        </w:rPr>
        <w:t>贯彻中共中央办公厅国务院办公厅《关于提高技术工人待遇的意见》，与建筑产业工人队伍建设相衔接，遵循《建筑施工模板安全技术规范》（JGJ162-20</w:t>
      </w:r>
      <w:r>
        <w:rPr>
          <w:rFonts w:eastAsiaTheme="minorEastAsia"/>
          <w:kern w:val="2"/>
          <w:sz w:val="24"/>
          <w:szCs w:val="24"/>
          <w:lang w:bidi="ar-SA"/>
        </w:rPr>
        <w:t>08</w:t>
      </w:r>
      <w:r>
        <w:rPr>
          <w:rFonts w:hint="eastAsia" w:eastAsiaTheme="minorEastAsia"/>
          <w:kern w:val="2"/>
          <w:sz w:val="24"/>
          <w:szCs w:val="24"/>
          <w:lang w:bidi="ar-SA"/>
        </w:rPr>
        <w:t>）、《建筑工程施工质量验收统一标准》（GB50300-2013）、《建筑施工安全检查标准》（JGJ59-20</w:t>
      </w:r>
      <w:r>
        <w:rPr>
          <w:rFonts w:eastAsiaTheme="minorEastAsia"/>
          <w:kern w:val="2"/>
          <w:sz w:val="24"/>
          <w:szCs w:val="24"/>
          <w:lang w:bidi="ar-SA"/>
        </w:rPr>
        <w:t>11</w:t>
      </w:r>
      <w:r>
        <w:rPr>
          <w:rFonts w:hint="eastAsia" w:eastAsiaTheme="minorEastAsia"/>
          <w:kern w:val="2"/>
          <w:sz w:val="24"/>
          <w:szCs w:val="24"/>
          <w:lang w:bidi="ar-SA"/>
        </w:rPr>
        <w:t>）</w:t>
      </w:r>
      <w:r>
        <w:rPr>
          <w:rFonts w:eastAsiaTheme="minorEastAsia"/>
          <w:kern w:val="2"/>
          <w:sz w:val="24"/>
          <w:szCs w:val="24"/>
          <w:lang w:bidi="ar-SA"/>
        </w:rPr>
        <w:t>、</w:t>
      </w:r>
      <w:r>
        <w:rPr>
          <w:rFonts w:hint="eastAsia" w:eastAsiaTheme="minorEastAsia"/>
          <w:kern w:val="2"/>
          <w:sz w:val="24"/>
          <w:szCs w:val="24"/>
          <w:lang w:bidi="ar-SA"/>
        </w:rPr>
        <w:t>《建筑施工高处作业安全技术规范》（JGJ80-2016）、《组合钢模板技术规范》（</w:t>
      </w:r>
      <w:r>
        <w:rPr>
          <w:rFonts w:eastAsiaTheme="minorEastAsia"/>
          <w:kern w:val="2"/>
          <w:sz w:val="24"/>
          <w:szCs w:val="24"/>
          <w:lang w:bidi="ar-SA"/>
        </w:rPr>
        <w:t>GB</w:t>
      </w:r>
      <w:r>
        <w:rPr>
          <w:rFonts w:hint="eastAsia" w:eastAsiaTheme="minorEastAsia"/>
          <w:kern w:val="2"/>
          <w:sz w:val="24"/>
          <w:szCs w:val="24"/>
          <w:lang w:bidi="ar-SA"/>
        </w:rPr>
        <w:t>/T</w:t>
      </w:r>
      <w:r>
        <w:rPr>
          <w:rFonts w:eastAsiaTheme="minorEastAsia"/>
          <w:kern w:val="2"/>
          <w:sz w:val="24"/>
          <w:szCs w:val="24"/>
          <w:lang w:bidi="ar-SA"/>
        </w:rPr>
        <w:t>50214</w:t>
      </w:r>
      <w:r>
        <w:rPr>
          <w:rFonts w:hint="eastAsia" w:eastAsiaTheme="minorEastAsia"/>
          <w:kern w:val="2"/>
          <w:sz w:val="24"/>
          <w:szCs w:val="24"/>
          <w:lang w:bidi="ar-SA"/>
        </w:rPr>
        <w:t>-</w:t>
      </w:r>
      <w:r>
        <w:rPr>
          <w:rFonts w:eastAsiaTheme="minorEastAsia"/>
          <w:kern w:val="2"/>
          <w:sz w:val="24"/>
          <w:szCs w:val="24"/>
          <w:lang w:bidi="ar-SA"/>
        </w:rPr>
        <w:t>20</w:t>
      </w:r>
      <w:r>
        <w:rPr>
          <w:rFonts w:hint="eastAsia" w:eastAsiaTheme="minorEastAsia"/>
          <w:kern w:val="2"/>
          <w:sz w:val="24"/>
          <w:szCs w:val="24"/>
          <w:lang w:bidi="ar-SA"/>
        </w:rPr>
        <w:t>13）、</w:t>
      </w:r>
      <w:r>
        <w:rPr>
          <w:rFonts w:eastAsiaTheme="minorEastAsia"/>
          <w:kern w:val="2"/>
          <w:sz w:val="24"/>
          <w:szCs w:val="24"/>
          <w:lang w:bidi="ar-SA"/>
        </w:rPr>
        <w:t>《建筑工程大模板技术</w:t>
      </w:r>
      <w:r>
        <w:rPr>
          <w:rFonts w:hint="eastAsia" w:eastAsiaTheme="minorEastAsia"/>
          <w:kern w:val="2"/>
          <w:sz w:val="24"/>
          <w:szCs w:val="24"/>
          <w:lang w:bidi="ar-SA"/>
        </w:rPr>
        <w:t>标准</w:t>
      </w:r>
      <w:r>
        <w:rPr>
          <w:rFonts w:eastAsiaTheme="minorEastAsia"/>
          <w:kern w:val="2"/>
          <w:sz w:val="24"/>
          <w:szCs w:val="24"/>
          <w:lang w:bidi="ar-SA"/>
        </w:rPr>
        <w:t>》</w:t>
      </w:r>
      <w:r>
        <w:rPr>
          <w:rFonts w:hint="eastAsia" w:eastAsiaTheme="minorEastAsia"/>
          <w:kern w:val="2"/>
          <w:sz w:val="24"/>
          <w:szCs w:val="24"/>
          <w:lang w:bidi="ar-SA"/>
        </w:rPr>
        <w:t>（</w:t>
      </w:r>
      <w:r>
        <w:rPr>
          <w:rFonts w:eastAsiaTheme="minorEastAsia"/>
          <w:kern w:val="2"/>
          <w:sz w:val="24"/>
          <w:szCs w:val="24"/>
          <w:lang w:bidi="ar-SA"/>
        </w:rPr>
        <w:t>JGJ74-2017</w:t>
      </w:r>
      <w:r>
        <w:rPr>
          <w:rFonts w:hint="eastAsia" w:eastAsiaTheme="minorEastAsia"/>
          <w:kern w:val="2"/>
          <w:sz w:val="24"/>
          <w:szCs w:val="24"/>
          <w:lang w:bidi="ar-SA"/>
        </w:rPr>
        <w:t>）</w:t>
      </w:r>
      <w:r>
        <w:rPr>
          <w:rFonts w:eastAsiaTheme="minorEastAsia"/>
          <w:kern w:val="2"/>
          <w:sz w:val="24"/>
          <w:szCs w:val="24"/>
          <w:lang w:bidi="ar-SA"/>
        </w:rPr>
        <w:t>、</w:t>
      </w:r>
      <w:r>
        <w:rPr>
          <w:rFonts w:hint="eastAsia" w:eastAsiaTheme="minorEastAsia"/>
          <w:kern w:val="2"/>
          <w:sz w:val="24"/>
          <w:szCs w:val="24"/>
          <w:lang w:bidi="ar-SA"/>
        </w:rPr>
        <w:t>《铝合金结构设计规范》（GB50429-2007）、《组合铝合金模板工程技术规程》（JGJ386-2016）、《混凝土结构工程施工规范》（</w:t>
      </w:r>
      <w:r>
        <w:rPr>
          <w:rFonts w:eastAsiaTheme="minorEastAsia"/>
          <w:kern w:val="2"/>
          <w:sz w:val="24"/>
          <w:szCs w:val="24"/>
          <w:lang w:bidi="ar-SA"/>
        </w:rPr>
        <w:t>GB50666</w:t>
      </w:r>
      <w:r>
        <w:rPr>
          <w:rFonts w:hint="eastAsia" w:eastAsiaTheme="minorEastAsia"/>
          <w:kern w:val="2"/>
          <w:sz w:val="24"/>
          <w:szCs w:val="24"/>
          <w:lang w:bidi="ar-SA"/>
        </w:rPr>
        <w:t>-</w:t>
      </w:r>
      <w:r>
        <w:rPr>
          <w:rFonts w:eastAsiaTheme="minorEastAsia"/>
          <w:kern w:val="2"/>
          <w:sz w:val="24"/>
          <w:szCs w:val="24"/>
          <w:lang w:bidi="ar-SA"/>
        </w:rPr>
        <w:t>2011</w:t>
      </w:r>
      <w:r>
        <w:rPr>
          <w:rFonts w:hint="eastAsia" w:eastAsiaTheme="minorEastAsia"/>
          <w:kern w:val="2"/>
          <w:sz w:val="24"/>
          <w:szCs w:val="24"/>
          <w:lang w:bidi="ar-SA"/>
        </w:rPr>
        <w:t>）等国家标准或规范，结合生产实际，注重质量和精度，体现最新技术和工艺，将建筑施工职业素养贯穿考核全过程，规范化操作与结果评判相结合，考核选手职业综合能力，对技能人才培养发挥示范指导作用。</w:t>
      </w:r>
    </w:p>
    <w:p>
      <w:pPr>
        <w:pStyle w:val="2"/>
        <w:autoSpaceDE/>
        <w:autoSpaceDN/>
        <w:spacing w:line="360" w:lineRule="auto"/>
        <w:jc w:val="both"/>
        <w:rPr>
          <w:rFonts w:ascii="黑体" w:hAnsi="黑体" w:eastAsia="黑体" w:cs="黑体"/>
          <w:b w:val="0"/>
          <w:sz w:val="24"/>
          <w:szCs w:val="24"/>
          <w:lang w:val="en-US" w:eastAsia="zh-CN" w:bidi="ar-SA"/>
        </w:rPr>
      </w:pPr>
      <w:bookmarkStart w:id="1" w:name="_Toc28593"/>
      <w:r>
        <w:rPr>
          <w:rFonts w:ascii="黑体" w:hAnsi="黑体" w:eastAsia="黑体" w:cs="黑体"/>
          <w:b w:val="0"/>
          <w:sz w:val="24"/>
          <w:szCs w:val="24"/>
          <w:lang w:val="en-US" w:eastAsia="zh-CN" w:bidi="ar-SA"/>
        </w:rPr>
        <w:t>2</w:t>
      </w:r>
      <w:r>
        <w:rPr>
          <w:rFonts w:hint="eastAsia" w:ascii="黑体" w:hAnsi="黑体" w:eastAsia="黑体" w:cs="黑体"/>
          <w:b w:val="0"/>
          <w:sz w:val="24"/>
          <w:szCs w:val="24"/>
          <w:lang w:val="en-US" w:eastAsia="zh-CN" w:bidi="ar-SA"/>
        </w:rPr>
        <w:t>.竞赛试题</w:t>
      </w:r>
      <w:bookmarkEnd w:id="1"/>
    </w:p>
    <w:p>
      <w:pPr>
        <w:pStyle w:val="3"/>
        <w:keepNext/>
        <w:keepLines/>
        <w:autoSpaceDE/>
        <w:autoSpaceDN/>
        <w:spacing w:line="360" w:lineRule="auto"/>
        <w:ind w:left="0"/>
        <w:jc w:val="both"/>
        <w:rPr>
          <w:rFonts w:asciiTheme="majorHAnsi" w:hAnsiTheme="majorHAnsi" w:eastAsiaTheme="minorEastAsia" w:cstheme="majorBidi"/>
          <w:kern w:val="2"/>
          <w:sz w:val="24"/>
          <w:szCs w:val="32"/>
          <w:lang w:val="en-US" w:eastAsia="zh-CN" w:bidi="ar-SA"/>
        </w:rPr>
      </w:pPr>
      <w:bookmarkStart w:id="2" w:name="_Toc24687"/>
      <w:r>
        <w:rPr>
          <w:rFonts w:hint="eastAsia" w:asciiTheme="majorHAnsi" w:hAnsiTheme="majorHAnsi" w:eastAsiaTheme="minorEastAsia" w:cstheme="majorBidi"/>
          <w:kern w:val="2"/>
          <w:sz w:val="24"/>
          <w:szCs w:val="32"/>
          <w:lang w:val="en-US" w:eastAsia="zh-CN" w:bidi="ar-SA"/>
        </w:rPr>
        <w:t>2.1试题内容</w:t>
      </w:r>
      <w:bookmarkEnd w:id="2"/>
    </w:p>
    <w:p>
      <w:pPr>
        <w:pStyle w:val="25"/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试题为预拼装一个飘窗、一个剪力墙、两条梁、一个梁下挂、一个构造柱、一个空调飘板铝合金模板，具体要求说明如下：</w:t>
      </w:r>
    </w:p>
    <w:p>
      <w:pPr>
        <w:pStyle w:val="25"/>
        <w:spacing w:line="360" w:lineRule="auto"/>
        <w:ind w:firstLine="480"/>
        <w:rPr>
          <w:sz w:val="24"/>
        </w:rPr>
      </w:pPr>
      <w:r>
        <w:rPr>
          <w:sz w:val="24"/>
        </w:rPr>
        <w:t>1.竞赛作品由飘窗、飘板及周围墙体、梁、楼板模板组成。组委会提供楼梯墙柱放线、铝模材料；参赛选手负责铝模模板安装加固，铝模板调平形成一个整体。</w:t>
      </w:r>
    </w:p>
    <w:p>
      <w:pPr>
        <w:pStyle w:val="25"/>
        <w:spacing w:line="360" w:lineRule="auto"/>
        <w:ind w:firstLine="480"/>
        <w:rPr>
          <w:sz w:val="24"/>
        </w:rPr>
      </w:pPr>
      <w:r>
        <w:rPr>
          <w:sz w:val="24"/>
        </w:rPr>
        <w:t>2.模板支撑架采用定型化铝模板，组委会统一提供，选手无须切割。</w:t>
      </w:r>
    </w:p>
    <w:p>
      <w:pPr>
        <w:pStyle w:val="25"/>
        <w:spacing w:line="360" w:lineRule="auto"/>
        <w:ind w:firstLine="480"/>
        <w:rPr>
          <w:sz w:val="24"/>
        </w:rPr>
      </w:pPr>
      <w:r>
        <w:rPr>
          <w:sz w:val="24"/>
        </w:rPr>
        <w:t>3.竞赛现场提供墙柱边线，详见施工图。</w:t>
      </w:r>
    </w:p>
    <w:p>
      <w:pPr>
        <w:pStyle w:val="25"/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4</w:t>
      </w:r>
      <w:r>
        <w:rPr>
          <w:sz w:val="24"/>
        </w:rPr>
        <w:t>.铝模板</w:t>
      </w:r>
      <w:r>
        <w:rPr>
          <w:rFonts w:hint="eastAsia"/>
          <w:sz w:val="24"/>
        </w:rPr>
        <w:t>对应结构图和配模</w:t>
      </w:r>
      <w:r>
        <w:rPr>
          <w:sz w:val="24"/>
        </w:rPr>
        <w:t xml:space="preserve">图如下: </w:t>
      </w:r>
    </w:p>
    <w:p>
      <w:pPr>
        <w:spacing w:line="360" w:lineRule="auto"/>
        <w:ind w:firstLine="440" w:firstLineChars="200"/>
        <w:jc w:val="center"/>
        <w:rPr>
          <w:sz w:val="24"/>
          <w:szCs w:val="24"/>
        </w:rPr>
      </w:pPr>
      <w:r>
        <w:rPr>
          <w:lang w:bidi="ar-SA"/>
        </w:rPr>
        <w:drawing>
          <wp:inline distT="0" distB="0" distL="0" distR="0">
            <wp:extent cx="5486400" cy="482409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824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  <w:lang w:bidi="ar-SA"/>
        </w:rPr>
        <w:t xml:space="preserve"> </w:t>
      </w:r>
    </w:p>
    <w:p>
      <w:pPr>
        <w:pStyle w:val="25"/>
        <w:spacing w:line="360" w:lineRule="auto"/>
        <w:ind w:left="816" w:leftChars="371" w:firstLine="600" w:firstLineChars="250"/>
        <w:jc w:val="center"/>
        <w:rPr>
          <w:sz w:val="24"/>
        </w:rPr>
      </w:pPr>
      <w:r>
        <w:rPr>
          <w:rFonts w:hint="eastAsia"/>
          <w:sz w:val="24"/>
        </w:rPr>
        <w:t>平面图</w:t>
      </w:r>
    </w:p>
    <w:p>
      <w:pPr>
        <w:spacing w:line="360" w:lineRule="auto"/>
        <w:ind w:firstLine="480" w:firstLineChars="200"/>
        <w:jc w:val="center"/>
        <w:rPr>
          <w:rFonts w:ascii="TimesNewRomanPSMT" w:hAnsi="TimesNewRomanPSMT" w:eastAsia="TimesNewRomanPSMT"/>
          <w:sz w:val="20"/>
        </w:rPr>
      </w:pPr>
      <w:r>
        <w:rPr>
          <w:rFonts w:ascii="黑体" w:hAnsi="黑体" w:eastAsia="黑体" w:cs="黑体"/>
          <w:sz w:val="24"/>
          <w:szCs w:val="20"/>
          <w:lang w:bidi="ar-SA"/>
        </w:rPr>
        <w:drawing>
          <wp:inline distT="0" distB="0" distL="0" distR="0">
            <wp:extent cx="4319905" cy="3054350"/>
            <wp:effectExtent l="0" t="0" r="444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3054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5"/>
        <w:spacing w:line="360" w:lineRule="auto"/>
        <w:ind w:left="0" w:leftChars="0" w:firstLine="0" w:firstLineChars="0"/>
        <w:jc w:val="center"/>
        <w:rPr>
          <w:sz w:val="24"/>
        </w:rPr>
      </w:pPr>
      <w:bookmarkStart w:id="23" w:name="_GoBack"/>
      <w:bookmarkEnd w:id="23"/>
      <w:r>
        <w:rPr>
          <w:rFonts w:hint="eastAsia"/>
          <w:sz w:val="24"/>
        </w:rPr>
        <w:t>节点大样图</w:t>
      </w:r>
    </w:p>
    <w:p>
      <w:pPr>
        <w:spacing w:line="360" w:lineRule="auto"/>
        <w:ind w:firstLine="400" w:firstLineChars="200"/>
        <w:jc w:val="center"/>
        <w:rPr>
          <w:rFonts w:ascii="Times New Roman" w:hAnsi="Times New Roman" w:cs="Times New Roman" w:eastAsiaTheme="minorEastAsia"/>
          <w:snapToGrid w:val="0"/>
          <w:color w:val="000000"/>
          <w:w w:val="0"/>
          <w:sz w:val="0"/>
          <w:szCs w:val="0"/>
          <w:u w:color="000000"/>
          <w:shd w:val="clear" w:color="000000" w:fill="000000"/>
          <w:lang w:val="zh-CN" w:bidi="zh-CN"/>
        </w:rPr>
      </w:pPr>
      <w:r>
        <w:rPr>
          <w:rFonts w:ascii="TimesNewRomanPSMT" w:hAnsi="TimesNewRomanPSMT" w:eastAsia="TimesNewRomanPSMT"/>
          <w:sz w:val="20"/>
          <w:lang w:bidi="ar-SA"/>
        </w:rPr>
        <w:drawing>
          <wp:inline distT="0" distB="0" distL="0" distR="0">
            <wp:extent cx="4319905" cy="3897630"/>
            <wp:effectExtent l="0" t="0" r="4445" b="7620"/>
            <wp:docPr id="8" name="图片 8" descr="C:\Users\邓文创\AppData\Local\Temp\1618987556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:\Users\邓文创\AppData\Local\Temp\1618987556(1)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3897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NewRomanPSMT" w:hAnsi="TimesNewRomanPSMT" w:eastAsia="TimesNewRomanPSMT"/>
          <w:sz w:val="20"/>
          <w:lang w:bidi="ar-SA"/>
        </w:rPr>
        <w:drawing>
          <wp:inline distT="0" distB="0" distL="0" distR="0">
            <wp:extent cx="4319905" cy="3587115"/>
            <wp:effectExtent l="0" t="0" r="8255" b="9525"/>
            <wp:docPr id="9" name="图片 9" descr="C:\Users\邓文创\AppData\Local\Temp\1618987601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邓文创\AppData\Local\Temp\1618987601(1)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3587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00" w:firstLineChars="200"/>
        <w:jc w:val="center"/>
        <w:rPr>
          <w:rFonts w:ascii="TimesNewRomanPSMT" w:hAnsi="TimesNewRomanPSMT" w:eastAsiaTheme="minorEastAsia"/>
          <w:sz w:val="20"/>
        </w:rPr>
      </w:pPr>
      <w:r>
        <w:rPr>
          <w:rFonts w:ascii="TimesNewRomanPSMT" w:hAnsi="TimesNewRomanPSMT" w:eastAsiaTheme="minorEastAsia"/>
          <w:sz w:val="20"/>
          <w:lang w:bidi="ar-SA"/>
        </w:rPr>
        <w:drawing>
          <wp:inline distT="0" distB="0" distL="0" distR="0">
            <wp:extent cx="4319905" cy="3769360"/>
            <wp:effectExtent l="0" t="0" r="4445" b="2540"/>
            <wp:docPr id="11" name="图片 11" descr="C:\Users\邓文创\AppData\Local\Temp\1618987684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C:\Users\邓文创\AppData\Local\Temp\1618987684(1)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376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/>
        <w:keepLines/>
        <w:autoSpaceDE/>
        <w:autoSpaceDN/>
        <w:spacing w:line="360" w:lineRule="auto"/>
        <w:ind w:left="0"/>
        <w:jc w:val="both"/>
        <w:rPr>
          <w:kern w:val="2"/>
          <w:sz w:val="24"/>
          <w:szCs w:val="32"/>
          <w:lang w:val="en-US" w:eastAsia="zh-CN" w:bidi="ar-SA"/>
        </w:rPr>
      </w:pPr>
      <w:bookmarkStart w:id="3" w:name="_Toc27049"/>
      <w:r>
        <w:rPr>
          <w:rFonts w:hint="eastAsia"/>
          <w:kern w:val="2"/>
          <w:sz w:val="24"/>
          <w:szCs w:val="32"/>
          <w:lang w:val="en-US" w:eastAsia="zh-CN" w:bidi="ar-SA"/>
        </w:rPr>
        <w:t>2.2竞赛形式</w:t>
      </w:r>
      <w:bookmarkEnd w:id="3"/>
    </w:p>
    <w:p>
      <w:pPr>
        <w:pStyle w:val="25"/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采取三人团队竞赛形式，不设辅助工，三名选手皆为正式比赛选手，要求在规定时间内完成规定的竞赛内容。</w:t>
      </w:r>
    </w:p>
    <w:p>
      <w:pPr>
        <w:pStyle w:val="3"/>
        <w:keepNext/>
        <w:keepLines/>
        <w:autoSpaceDE/>
        <w:autoSpaceDN/>
        <w:spacing w:line="360" w:lineRule="auto"/>
        <w:ind w:left="0"/>
        <w:jc w:val="both"/>
        <w:rPr>
          <w:kern w:val="2"/>
          <w:sz w:val="24"/>
          <w:szCs w:val="32"/>
          <w:lang w:val="en-US" w:eastAsia="zh-CN" w:bidi="ar-SA"/>
        </w:rPr>
      </w:pPr>
      <w:bookmarkStart w:id="4" w:name="_Toc31754"/>
      <w:r>
        <w:rPr>
          <w:rFonts w:hint="eastAsia"/>
          <w:kern w:val="2"/>
          <w:sz w:val="24"/>
          <w:szCs w:val="32"/>
          <w:lang w:val="en-US" w:eastAsia="zh-CN" w:bidi="ar-SA"/>
        </w:rPr>
        <w:t>2.3 竞赛时间</w:t>
      </w:r>
      <w:bookmarkEnd w:id="4"/>
    </w:p>
    <w:p>
      <w:pPr>
        <w:pStyle w:val="25"/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竞赛时间为5个小时。</w:t>
      </w:r>
    </w:p>
    <w:p>
      <w:pPr>
        <w:pStyle w:val="2"/>
        <w:spacing w:line="360" w:lineRule="auto"/>
        <w:rPr>
          <w:sz w:val="24"/>
          <w:szCs w:val="24"/>
        </w:rPr>
      </w:pPr>
      <w:bookmarkStart w:id="5" w:name="_Toc26554"/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  <w:lang w:eastAsia="zh-CN"/>
        </w:rPr>
        <w:t>.</w:t>
      </w:r>
      <w:r>
        <w:rPr>
          <w:rFonts w:hint="eastAsia"/>
          <w:sz w:val="24"/>
          <w:szCs w:val="24"/>
        </w:rPr>
        <w:t>成绩评判</w:t>
      </w:r>
      <w:bookmarkEnd w:id="5"/>
    </w:p>
    <w:p>
      <w:pPr>
        <w:pStyle w:val="3"/>
        <w:keepNext/>
        <w:keepLines/>
        <w:autoSpaceDE/>
        <w:autoSpaceDN/>
        <w:spacing w:line="360" w:lineRule="auto"/>
        <w:ind w:left="0"/>
        <w:jc w:val="both"/>
        <w:rPr>
          <w:kern w:val="2"/>
          <w:sz w:val="24"/>
          <w:szCs w:val="32"/>
          <w:lang w:val="en-US" w:eastAsia="zh-CN" w:bidi="ar-SA"/>
        </w:rPr>
      </w:pPr>
      <w:bookmarkStart w:id="6" w:name="_Toc7593"/>
      <w:r>
        <w:rPr>
          <w:rFonts w:hint="eastAsia"/>
          <w:kern w:val="2"/>
          <w:sz w:val="24"/>
          <w:szCs w:val="32"/>
          <w:lang w:val="en-US" w:eastAsia="zh-CN" w:bidi="ar-SA"/>
        </w:rPr>
        <w:t>3.1 采用100分制评分</w:t>
      </w:r>
      <w:bookmarkEnd w:id="6"/>
    </w:p>
    <w:p>
      <w:pPr>
        <w:pStyle w:val="25"/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分主观与客观评分，其中主观分30分，客观分70分，具体分值分布下表。</w:t>
      </w:r>
    </w:p>
    <w:tbl>
      <w:tblPr>
        <w:tblStyle w:val="9"/>
        <w:tblW w:w="8695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18"/>
        <w:gridCol w:w="1597"/>
        <w:gridCol w:w="1403"/>
        <w:gridCol w:w="1714"/>
        <w:gridCol w:w="1493"/>
        <w:gridCol w:w="137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exact"/>
          <w:jc w:val="center"/>
        </w:trPr>
        <w:tc>
          <w:tcPr>
            <w:tcW w:w="111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</w:rPr>
              <w:t>项目编号</w:t>
            </w:r>
          </w:p>
        </w:tc>
        <w:tc>
          <w:tcPr>
            <w:tcW w:w="159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</w:rPr>
              <w:t>内容</w:t>
            </w:r>
          </w:p>
        </w:tc>
        <w:tc>
          <w:tcPr>
            <w:tcW w:w="46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</w:rPr>
              <w:t>分数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</w:rPr>
              <w:t>得分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exact"/>
          <w:jc w:val="center"/>
        </w:trPr>
        <w:tc>
          <w:tcPr>
            <w:tcW w:w="111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59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</w:rPr>
              <w:t>主观分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</w:rPr>
              <w:t>客观分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</w:rPr>
              <w:t>总分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4"/>
              </w:rPr>
            </w:pPr>
          </w:p>
        </w:tc>
      </w:tr>
      <w:tr>
        <w:trPr>
          <w:trHeight w:val="286" w:hRule="exact"/>
          <w:jc w:val="center"/>
        </w:trPr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1</w:t>
            </w:r>
          </w:p>
        </w:tc>
        <w:tc>
          <w:tcPr>
            <w:tcW w:w="1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放样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4"/>
              </w:rPr>
            </w:pP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10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10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exact"/>
          <w:jc w:val="center"/>
        </w:trPr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2</w:t>
            </w:r>
          </w:p>
        </w:tc>
        <w:tc>
          <w:tcPr>
            <w:tcW w:w="1597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模板安装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4"/>
              </w:rPr>
            </w:pP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34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34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4"/>
              </w:rPr>
            </w:pPr>
          </w:p>
        </w:tc>
      </w:tr>
      <w:tr>
        <w:trPr>
          <w:trHeight w:val="274" w:hRule="exact"/>
          <w:jc w:val="center"/>
        </w:trPr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3</w:t>
            </w:r>
          </w:p>
        </w:tc>
        <w:tc>
          <w:tcPr>
            <w:tcW w:w="1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铝模加固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4"/>
              </w:rPr>
            </w:pP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23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23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exact"/>
          <w:jc w:val="center"/>
        </w:trPr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4</w:t>
            </w:r>
          </w:p>
        </w:tc>
        <w:tc>
          <w:tcPr>
            <w:tcW w:w="1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成品外观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18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4"/>
              </w:rPr>
            </w:pP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18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exact"/>
          <w:jc w:val="center"/>
        </w:trPr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5</w:t>
            </w:r>
          </w:p>
        </w:tc>
        <w:tc>
          <w:tcPr>
            <w:tcW w:w="1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职业素养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12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4"/>
              </w:rPr>
            </w:pP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12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exact"/>
          <w:jc w:val="center"/>
        </w:trPr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6</w:t>
            </w:r>
          </w:p>
        </w:tc>
        <w:tc>
          <w:tcPr>
            <w:tcW w:w="1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工效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4"/>
              </w:rPr>
            </w:pP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3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3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8" w:hRule="exact"/>
          <w:jc w:val="center"/>
        </w:trPr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总分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30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70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100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4"/>
              </w:rPr>
            </w:pPr>
          </w:p>
        </w:tc>
      </w:tr>
    </w:tbl>
    <w:p>
      <w:pPr>
        <w:spacing w:line="360" w:lineRule="auto"/>
        <w:ind w:firstLine="800" w:firstLineChars="400"/>
        <w:rPr>
          <w:rFonts w:ascii="TimesNewRomanPSMT" w:hAnsi="TimesNewRomanPSMT"/>
          <w:sz w:val="20"/>
        </w:rPr>
      </w:pPr>
    </w:p>
    <w:p>
      <w:pPr>
        <w:pStyle w:val="3"/>
        <w:keepNext/>
        <w:keepLines/>
        <w:autoSpaceDE/>
        <w:autoSpaceDN/>
        <w:spacing w:line="360" w:lineRule="auto"/>
        <w:ind w:left="0"/>
        <w:jc w:val="both"/>
        <w:rPr>
          <w:kern w:val="2"/>
          <w:sz w:val="24"/>
          <w:szCs w:val="32"/>
          <w:lang w:val="en-US" w:eastAsia="zh-CN" w:bidi="ar-SA"/>
        </w:rPr>
      </w:pPr>
      <w:bookmarkStart w:id="7" w:name="_Toc7335"/>
      <w:r>
        <w:rPr>
          <w:rFonts w:hint="eastAsia"/>
          <w:kern w:val="2"/>
          <w:sz w:val="24"/>
          <w:szCs w:val="32"/>
          <w:lang w:val="en-US" w:eastAsia="zh-CN" w:bidi="ar-SA"/>
        </w:rPr>
        <w:t>3.2评分细则</w:t>
      </w:r>
      <w:bookmarkEnd w:id="7"/>
    </w:p>
    <w:p>
      <w:pPr>
        <w:jc w:val="center"/>
        <w:rPr>
          <w:b/>
          <w:bCs/>
          <w:szCs w:val="24"/>
        </w:rPr>
      </w:pPr>
      <w:r>
        <w:rPr>
          <w:rFonts w:hint="eastAsia"/>
          <w:b/>
          <w:bCs/>
          <w:szCs w:val="24"/>
        </w:rPr>
        <w:t>评分表</w:t>
      </w:r>
    </w:p>
    <w:tbl>
      <w:tblPr>
        <w:tblStyle w:val="9"/>
        <w:tblW w:w="802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62"/>
        <w:gridCol w:w="419"/>
        <w:gridCol w:w="490"/>
        <w:gridCol w:w="2850"/>
        <w:gridCol w:w="2415"/>
        <w:gridCol w:w="645"/>
        <w:gridCol w:w="64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45" w:hRule="atLeast"/>
          <w:tblHeader/>
          <w:jc w:val="center"/>
        </w:trPr>
        <w:tc>
          <w:tcPr>
            <w:tcW w:w="562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编号标准</w:t>
            </w:r>
          </w:p>
        </w:tc>
        <w:tc>
          <w:tcPr>
            <w:tcW w:w="90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内容</w:t>
            </w:r>
          </w:p>
        </w:tc>
        <w:tc>
          <w:tcPr>
            <w:tcW w:w="2850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要求或公称尺寸</w:t>
            </w:r>
          </w:p>
        </w:tc>
        <w:tc>
          <w:tcPr>
            <w:tcW w:w="2415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评分标准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分值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8" w:hRule="atLeast"/>
          <w:tblHeader/>
          <w:jc w:val="center"/>
        </w:trPr>
        <w:tc>
          <w:tcPr>
            <w:tcW w:w="562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419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放样</w:t>
            </w:r>
          </w:p>
        </w:tc>
        <w:tc>
          <w:tcPr>
            <w:tcW w:w="490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1.1</w:t>
            </w:r>
          </w:p>
        </w:tc>
        <w:tc>
          <w:tcPr>
            <w:tcW w:w="2850" w:type="dxa"/>
            <w:vAlign w:val="center"/>
          </w:tcPr>
          <w:p>
            <w:pPr>
              <w:widowControl/>
              <w:jc w:val="both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控制线延长1m</w:t>
            </w:r>
          </w:p>
        </w:tc>
        <w:tc>
          <w:tcPr>
            <w:tcW w:w="2415" w:type="dxa"/>
            <w:vMerge w:val="restart"/>
            <w:vAlign w:val="center"/>
          </w:tcPr>
          <w:p>
            <w:pPr>
              <w:widowControl/>
              <w:jc w:val="both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误差±2mm之内不扣分</w:t>
            </w:r>
          </w:p>
          <w:p>
            <w:pPr>
              <w:widowControl/>
              <w:jc w:val="both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每超出规定±1mm扣1分，扣完为止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3" w:hRule="atLeast"/>
          <w:tblHeader/>
          <w:jc w:val="center"/>
        </w:trPr>
        <w:tc>
          <w:tcPr>
            <w:tcW w:w="562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419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490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  <w:tc>
          <w:tcPr>
            <w:tcW w:w="2850" w:type="dxa"/>
            <w:vAlign w:val="center"/>
          </w:tcPr>
          <w:p>
            <w:pPr>
              <w:widowControl/>
              <w:jc w:val="both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定位筋设置</w:t>
            </w:r>
          </w:p>
        </w:tc>
        <w:tc>
          <w:tcPr>
            <w:tcW w:w="2415" w:type="dxa"/>
            <w:vMerge w:val="continue"/>
            <w:vAlign w:val="center"/>
          </w:tcPr>
          <w:p>
            <w:pPr>
              <w:widowControl/>
              <w:jc w:val="both"/>
              <w:textAlignment w:val="center"/>
              <w:rPr>
                <w:szCs w:val="21"/>
              </w:rPr>
            </w:pP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8" w:hRule="atLeast"/>
          <w:tblHeader/>
          <w:jc w:val="center"/>
        </w:trPr>
        <w:tc>
          <w:tcPr>
            <w:tcW w:w="562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  <w:p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419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模板安装</w:t>
            </w:r>
          </w:p>
          <w:p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490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2.1</w:t>
            </w:r>
          </w:p>
        </w:tc>
        <w:tc>
          <w:tcPr>
            <w:tcW w:w="2850" w:type="dxa"/>
            <w:vAlign w:val="center"/>
          </w:tcPr>
          <w:p>
            <w:pPr>
              <w:jc w:val="both"/>
              <w:textAlignment w:val="center"/>
              <w:rPr>
                <w:szCs w:val="21"/>
              </w:rPr>
            </w:pPr>
            <w:r>
              <w:rPr>
                <w:rFonts w:hint="eastAsia"/>
              </w:rPr>
              <w:t>面板拼缝</w:t>
            </w:r>
          </w:p>
        </w:tc>
        <w:tc>
          <w:tcPr>
            <w:tcW w:w="2415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both"/>
              <w:textAlignment w:val="center"/>
            </w:pPr>
            <w:r>
              <w:rPr>
                <w:rFonts w:hint="eastAsia"/>
              </w:rPr>
              <w:t>小于1mm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68" w:hRule="atLeast"/>
          <w:tblHeader/>
          <w:jc w:val="center"/>
        </w:trPr>
        <w:tc>
          <w:tcPr>
            <w:tcW w:w="562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419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490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2.2</w:t>
            </w:r>
          </w:p>
        </w:tc>
        <w:tc>
          <w:tcPr>
            <w:tcW w:w="2850" w:type="dxa"/>
            <w:vAlign w:val="center"/>
          </w:tcPr>
          <w:p>
            <w:pPr>
              <w:widowControl/>
              <w:jc w:val="both"/>
              <w:textAlignment w:val="center"/>
              <w:rPr>
                <w:szCs w:val="21"/>
              </w:rPr>
            </w:pPr>
            <w:r>
              <w:rPr>
                <w:rFonts w:hint="eastAsia"/>
              </w:rPr>
              <w:t>拼合板处平整度</w:t>
            </w:r>
          </w:p>
        </w:tc>
        <w:tc>
          <w:tcPr>
            <w:tcW w:w="24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both"/>
              <w:textAlignment w:val="center"/>
              <w:rPr>
                <w:szCs w:val="21"/>
              </w:rPr>
            </w:pPr>
            <w:r>
              <w:rPr>
                <w:rFonts w:hint="eastAsia"/>
              </w:rPr>
              <w:t>小于2mm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8" w:hRule="atLeast"/>
          <w:tblHeader/>
          <w:jc w:val="center"/>
        </w:trPr>
        <w:tc>
          <w:tcPr>
            <w:tcW w:w="562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419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490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2.3</w:t>
            </w:r>
          </w:p>
        </w:tc>
        <w:tc>
          <w:tcPr>
            <w:tcW w:w="2850" w:type="dxa"/>
            <w:vAlign w:val="center"/>
          </w:tcPr>
          <w:p>
            <w:pPr>
              <w:widowControl/>
              <w:jc w:val="both"/>
              <w:textAlignment w:val="center"/>
              <w:rPr>
                <w:szCs w:val="21"/>
              </w:rPr>
            </w:pPr>
            <w:r>
              <w:rPr>
                <w:rFonts w:hint="eastAsia"/>
              </w:rPr>
              <w:t>模板平面平整度</w:t>
            </w:r>
          </w:p>
        </w:tc>
        <w:tc>
          <w:tcPr>
            <w:tcW w:w="2415" w:type="dxa"/>
            <w:tcBorders>
              <w:top w:val="single" w:color="auto" w:sz="4" w:space="0"/>
            </w:tcBorders>
            <w:vAlign w:val="center"/>
          </w:tcPr>
          <w:p>
            <w:pPr>
              <w:jc w:val="both"/>
              <w:textAlignment w:val="center"/>
              <w:rPr>
                <w:szCs w:val="21"/>
              </w:rPr>
            </w:pPr>
            <w:r>
              <w:rPr>
                <w:rFonts w:hint="eastAsia"/>
              </w:rPr>
              <w:t>小于2mm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8" w:hRule="atLeast"/>
          <w:tblHeader/>
          <w:jc w:val="center"/>
        </w:trPr>
        <w:tc>
          <w:tcPr>
            <w:tcW w:w="562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419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490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2.4</w:t>
            </w:r>
          </w:p>
        </w:tc>
        <w:tc>
          <w:tcPr>
            <w:tcW w:w="2850" w:type="dxa"/>
            <w:vAlign w:val="center"/>
          </w:tcPr>
          <w:p>
            <w:pPr>
              <w:widowControl/>
              <w:jc w:val="both"/>
              <w:textAlignment w:val="center"/>
              <w:rPr>
                <w:szCs w:val="21"/>
              </w:rPr>
            </w:pPr>
            <w:r>
              <w:rPr>
                <w:rFonts w:hint="eastAsia"/>
              </w:rPr>
              <w:t>支承面高度误差</w:t>
            </w:r>
          </w:p>
        </w:tc>
        <w:tc>
          <w:tcPr>
            <w:tcW w:w="2415" w:type="dxa"/>
            <w:vAlign w:val="center"/>
          </w:tcPr>
          <w:p>
            <w:pPr>
              <w:widowControl/>
              <w:jc w:val="both"/>
              <w:textAlignment w:val="center"/>
              <w:rPr>
                <w:szCs w:val="21"/>
              </w:rPr>
            </w:pPr>
            <w:r>
              <w:rPr>
                <w:rFonts w:hint="eastAsia"/>
              </w:rPr>
              <w:t>允许偏差±5mm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8" w:hRule="atLeast"/>
          <w:tblHeader/>
          <w:jc w:val="center"/>
        </w:trPr>
        <w:tc>
          <w:tcPr>
            <w:tcW w:w="562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419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490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2.5</w:t>
            </w:r>
          </w:p>
        </w:tc>
        <w:tc>
          <w:tcPr>
            <w:tcW w:w="2850" w:type="dxa"/>
            <w:vAlign w:val="center"/>
          </w:tcPr>
          <w:p>
            <w:pPr>
              <w:widowControl/>
              <w:jc w:val="both"/>
              <w:textAlignment w:val="center"/>
              <w:rPr>
                <w:szCs w:val="21"/>
              </w:rPr>
            </w:pPr>
            <w:r>
              <w:rPr>
                <w:rFonts w:hint="eastAsia"/>
              </w:rPr>
              <w:t>轴线位移</w:t>
            </w:r>
          </w:p>
        </w:tc>
        <w:tc>
          <w:tcPr>
            <w:tcW w:w="2415" w:type="dxa"/>
            <w:vAlign w:val="center"/>
          </w:tcPr>
          <w:p>
            <w:pPr>
              <w:widowControl/>
              <w:jc w:val="both"/>
              <w:textAlignment w:val="center"/>
              <w:rPr>
                <w:szCs w:val="21"/>
              </w:rPr>
            </w:pPr>
            <w:r>
              <w:rPr>
                <w:rFonts w:hint="eastAsia"/>
              </w:rPr>
              <w:t>允许偏差±5mm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8" w:hRule="atLeast"/>
          <w:tblHeader/>
          <w:jc w:val="center"/>
        </w:trPr>
        <w:tc>
          <w:tcPr>
            <w:tcW w:w="562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419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490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2.6</w:t>
            </w:r>
          </w:p>
        </w:tc>
        <w:tc>
          <w:tcPr>
            <w:tcW w:w="2850" w:type="dxa"/>
            <w:vAlign w:val="center"/>
          </w:tcPr>
          <w:p>
            <w:pPr>
              <w:widowControl/>
              <w:jc w:val="both"/>
              <w:textAlignment w:val="center"/>
              <w:rPr>
                <w:szCs w:val="21"/>
              </w:rPr>
            </w:pPr>
            <w:r>
              <w:rPr>
                <w:rFonts w:hint="eastAsia"/>
              </w:rPr>
              <w:t>截面尺寸</w:t>
            </w:r>
          </w:p>
        </w:tc>
        <w:tc>
          <w:tcPr>
            <w:tcW w:w="2415" w:type="dxa"/>
            <w:vAlign w:val="center"/>
          </w:tcPr>
          <w:p>
            <w:pPr>
              <w:widowControl/>
              <w:jc w:val="both"/>
              <w:textAlignment w:val="center"/>
              <w:rPr>
                <w:szCs w:val="21"/>
              </w:rPr>
            </w:pPr>
            <w:r>
              <w:rPr>
                <w:rFonts w:hint="eastAsia"/>
              </w:rPr>
              <w:t>±2mm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68" w:hRule="atLeast"/>
          <w:tblHeader/>
          <w:jc w:val="center"/>
        </w:trPr>
        <w:tc>
          <w:tcPr>
            <w:tcW w:w="562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419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490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2.7</w:t>
            </w:r>
          </w:p>
        </w:tc>
        <w:tc>
          <w:tcPr>
            <w:tcW w:w="2850" w:type="dxa"/>
            <w:vAlign w:val="center"/>
          </w:tcPr>
          <w:p>
            <w:pPr>
              <w:widowControl/>
              <w:jc w:val="both"/>
              <w:textAlignment w:val="center"/>
            </w:pPr>
            <w:r>
              <w:rPr>
                <w:rFonts w:hint="eastAsia"/>
              </w:rPr>
              <w:t>启口、滴水线安装</w:t>
            </w:r>
          </w:p>
        </w:tc>
        <w:tc>
          <w:tcPr>
            <w:tcW w:w="2415" w:type="dxa"/>
            <w:vAlign w:val="center"/>
          </w:tcPr>
          <w:p>
            <w:pPr>
              <w:widowControl/>
              <w:jc w:val="both"/>
              <w:textAlignment w:val="center"/>
            </w:pPr>
            <w:r>
              <w:rPr>
                <w:rFonts w:hint="eastAsia"/>
              </w:rPr>
              <w:t>装漏、装反1处扣1分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8" w:hRule="atLeast"/>
          <w:tblHeader/>
          <w:jc w:val="center"/>
        </w:trPr>
        <w:tc>
          <w:tcPr>
            <w:tcW w:w="562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419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4"/>
              </w:rPr>
              <w:t>铝模加固</w:t>
            </w:r>
          </w:p>
        </w:tc>
        <w:tc>
          <w:tcPr>
            <w:tcW w:w="490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3.1</w:t>
            </w:r>
          </w:p>
        </w:tc>
        <w:tc>
          <w:tcPr>
            <w:tcW w:w="2850" w:type="dxa"/>
            <w:vAlign w:val="center"/>
          </w:tcPr>
          <w:p>
            <w:pPr>
              <w:widowControl/>
              <w:jc w:val="both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销钉销片的加固数量</w:t>
            </w:r>
          </w:p>
        </w:tc>
        <w:tc>
          <w:tcPr>
            <w:tcW w:w="2415" w:type="dxa"/>
            <w:vAlign w:val="center"/>
          </w:tcPr>
          <w:p>
            <w:pPr>
              <w:widowControl/>
              <w:jc w:val="both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每15公分加固一道</w:t>
            </w: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8" w:hRule="atLeast"/>
          <w:tblHeader/>
          <w:jc w:val="center"/>
        </w:trPr>
        <w:tc>
          <w:tcPr>
            <w:tcW w:w="562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419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490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3.2</w:t>
            </w:r>
          </w:p>
        </w:tc>
        <w:tc>
          <w:tcPr>
            <w:tcW w:w="2850" w:type="dxa"/>
            <w:vAlign w:val="center"/>
          </w:tcPr>
          <w:p>
            <w:pPr>
              <w:widowControl/>
              <w:jc w:val="both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螺杆</w:t>
            </w:r>
          </w:p>
        </w:tc>
        <w:tc>
          <w:tcPr>
            <w:tcW w:w="2415" w:type="dxa"/>
            <w:vAlign w:val="center"/>
          </w:tcPr>
          <w:p>
            <w:pPr>
              <w:widowControl/>
              <w:jc w:val="both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螺杆是否设置垫片和胶套管，螺丝是否上紧，每处扣1分</w:t>
            </w: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8" w:hRule="atLeast"/>
          <w:tblHeader/>
          <w:jc w:val="center"/>
        </w:trPr>
        <w:tc>
          <w:tcPr>
            <w:tcW w:w="562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419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490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3.3</w:t>
            </w:r>
          </w:p>
        </w:tc>
        <w:tc>
          <w:tcPr>
            <w:tcW w:w="2850" w:type="dxa"/>
            <w:vAlign w:val="center"/>
          </w:tcPr>
          <w:p>
            <w:pPr>
              <w:widowControl/>
              <w:jc w:val="both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立杆</w:t>
            </w:r>
          </w:p>
        </w:tc>
        <w:tc>
          <w:tcPr>
            <w:tcW w:w="2415" w:type="dxa"/>
            <w:vAlign w:val="center"/>
          </w:tcPr>
          <w:p>
            <w:pPr>
              <w:widowControl/>
              <w:jc w:val="both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立杆是否垂直或紧，每处扣1分</w:t>
            </w: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8" w:hRule="atLeast"/>
          <w:tblHeader/>
          <w:jc w:val="center"/>
        </w:trPr>
        <w:tc>
          <w:tcPr>
            <w:tcW w:w="562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419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490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3.4</w:t>
            </w:r>
          </w:p>
        </w:tc>
        <w:tc>
          <w:tcPr>
            <w:tcW w:w="2850" w:type="dxa"/>
            <w:vAlign w:val="center"/>
          </w:tcPr>
          <w:p>
            <w:pPr>
              <w:widowControl/>
              <w:jc w:val="both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背楞加固</w:t>
            </w:r>
          </w:p>
        </w:tc>
        <w:tc>
          <w:tcPr>
            <w:tcW w:w="2415" w:type="dxa"/>
            <w:vAlign w:val="center"/>
          </w:tcPr>
          <w:p>
            <w:pPr>
              <w:widowControl/>
              <w:jc w:val="both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背楞是否按照图纸加固，阴阳角斜拉杆设置到位</w:t>
            </w: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8" w:hRule="exact"/>
          <w:tblHeader/>
          <w:jc w:val="center"/>
        </w:trPr>
        <w:tc>
          <w:tcPr>
            <w:tcW w:w="562" w:type="dxa"/>
            <w:vMerge w:val="restart"/>
            <w:vAlign w:val="center"/>
          </w:tcPr>
          <w:p>
            <w:pPr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419" w:type="dxa"/>
            <w:vMerge w:val="restart"/>
            <w:vAlign w:val="center"/>
          </w:tcPr>
          <w:p>
            <w:pPr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成品外观</w:t>
            </w:r>
          </w:p>
        </w:tc>
        <w:tc>
          <w:tcPr>
            <w:tcW w:w="490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4.1</w:t>
            </w:r>
          </w:p>
        </w:tc>
        <w:tc>
          <w:tcPr>
            <w:tcW w:w="2850" w:type="dxa"/>
            <w:vAlign w:val="center"/>
          </w:tcPr>
          <w:p>
            <w:pPr>
              <w:widowControl/>
              <w:jc w:val="both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模板稳定性</w:t>
            </w:r>
          </w:p>
        </w:tc>
        <w:tc>
          <w:tcPr>
            <w:tcW w:w="2415" w:type="dxa"/>
            <w:vAlign w:val="center"/>
          </w:tcPr>
          <w:p>
            <w:pPr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模板安装牢固可靠，整体性好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4" w:hRule="exact"/>
          <w:tblHeader/>
          <w:jc w:val="center"/>
        </w:trPr>
        <w:tc>
          <w:tcPr>
            <w:tcW w:w="562" w:type="dxa"/>
            <w:vMerge w:val="continue"/>
            <w:vAlign w:val="center"/>
          </w:tcPr>
          <w:p>
            <w:pPr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419" w:type="dxa"/>
            <w:vMerge w:val="continue"/>
            <w:vAlign w:val="center"/>
          </w:tcPr>
          <w:p>
            <w:pPr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490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4.2</w:t>
            </w:r>
          </w:p>
        </w:tc>
        <w:tc>
          <w:tcPr>
            <w:tcW w:w="2850" w:type="dxa"/>
            <w:vAlign w:val="center"/>
          </w:tcPr>
          <w:p>
            <w:pPr>
              <w:widowControl/>
              <w:jc w:val="both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模板整体外观</w:t>
            </w:r>
          </w:p>
        </w:tc>
        <w:tc>
          <w:tcPr>
            <w:tcW w:w="2415" w:type="dxa"/>
            <w:vAlign w:val="center"/>
          </w:tcPr>
          <w:p>
            <w:pPr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飘板、飘窗整齐有序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20" w:hRule="exact"/>
          <w:tblHeader/>
          <w:jc w:val="center"/>
        </w:trPr>
        <w:tc>
          <w:tcPr>
            <w:tcW w:w="562" w:type="dxa"/>
            <w:vMerge w:val="continue"/>
            <w:vAlign w:val="center"/>
          </w:tcPr>
          <w:p>
            <w:pPr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419" w:type="dxa"/>
            <w:vMerge w:val="continue"/>
            <w:vAlign w:val="center"/>
          </w:tcPr>
          <w:p>
            <w:pPr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490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4.3</w:t>
            </w:r>
          </w:p>
        </w:tc>
        <w:tc>
          <w:tcPr>
            <w:tcW w:w="2850" w:type="dxa"/>
            <w:vAlign w:val="center"/>
          </w:tcPr>
          <w:p>
            <w:pPr>
              <w:widowControl/>
              <w:jc w:val="both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完成作品</w:t>
            </w:r>
          </w:p>
        </w:tc>
        <w:tc>
          <w:tcPr>
            <w:tcW w:w="2415" w:type="dxa"/>
            <w:vAlign w:val="center"/>
          </w:tcPr>
          <w:p>
            <w:pPr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完成作品的，得10分。未完成作品，此项得0分。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43" w:hRule="exact"/>
          <w:tblHeader/>
          <w:jc w:val="center"/>
        </w:trPr>
        <w:tc>
          <w:tcPr>
            <w:tcW w:w="562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bookmarkStart w:id="8" w:name="_Hlk15450650"/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419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职业素养</w:t>
            </w:r>
          </w:p>
        </w:tc>
        <w:tc>
          <w:tcPr>
            <w:tcW w:w="490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5.1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正确戴安全帽、遵守竞赛纪律（选手规则）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1.未戴安全帽进入赛区的，扣6分；在赛区竞赛过程中，脱下安全帽的，扣2分；佩戴安全帽不规范，经裁判员责令改正，拒不改正的，扣2分；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2.切割模板不佩戴防护口罩的每次扣3分；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3.违反竞赛纪律的，扣2分；情节较为严重的，扣4分；情节严重的，扣6分。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85" w:hRule="exact"/>
          <w:tblHeader/>
          <w:jc w:val="center"/>
        </w:trPr>
        <w:tc>
          <w:tcPr>
            <w:tcW w:w="56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  <w:bookmarkStart w:id="9" w:name="_Hlk15498517"/>
          </w:p>
        </w:tc>
        <w:tc>
          <w:tcPr>
            <w:tcW w:w="419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90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5.2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保持工位整洁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工位整洁，工完场清的，得2分；清理不彻底的得1分；没清理的不得分。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41" w:hRule="exact"/>
          <w:tblHeader/>
          <w:jc w:val="center"/>
        </w:trPr>
        <w:tc>
          <w:tcPr>
            <w:tcW w:w="56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19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90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5.3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独创工具或工法有效提高质量或效率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经选手申请，监督工位的裁判员确认的，每项得1分。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26" w:hRule="exact"/>
          <w:tblHeader/>
          <w:jc w:val="center"/>
        </w:trPr>
        <w:tc>
          <w:tcPr>
            <w:tcW w:w="56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41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工效</w:t>
            </w:r>
          </w:p>
        </w:tc>
        <w:tc>
          <w:tcPr>
            <w:tcW w:w="490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按完成作品时间由短到长排名，第</w:t>
            </w:r>
            <w:r>
              <w:rPr>
                <w:szCs w:val="21"/>
              </w:rPr>
              <w:t>1名-第</w:t>
            </w:r>
            <w:r>
              <w:rPr>
                <w:rFonts w:hint="eastAsia"/>
                <w:szCs w:val="21"/>
              </w:rPr>
              <w:t>6名相应分数为3</w:t>
            </w:r>
            <w:r>
              <w:rPr>
                <w:szCs w:val="21"/>
              </w:rPr>
              <w:t>-</w:t>
            </w:r>
            <w:r>
              <w:rPr>
                <w:rFonts w:hint="eastAsia"/>
                <w:szCs w:val="21"/>
              </w:rPr>
              <w:t>0.5分，其他名次得</w:t>
            </w:r>
            <w:r>
              <w:rPr>
                <w:szCs w:val="21"/>
              </w:rPr>
              <w:t>0分。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</w:p>
        </w:tc>
      </w:tr>
      <w:bookmarkEnd w:id="8"/>
      <w:bookmarkEnd w:id="9"/>
    </w:tbl>
    <w:p>
      <w:pPr>
        <w:ind w:firstLine="930" w:firstLineChars="423"/>
        <w:rPr>
          <w:szCs w:val="24"/>
        </w:rPr>
      </w:pPr>
      <w:r>
        <w:rPr>
          <w:rFonts w:hint="eastAsia"/>
          <w:szCs w:val="24"/>
        </w:rPr>
        <w:t>注：1.客观评分测量位置（评分点）经现场抽签决定。</w:t>
      </w:r>
    </w:p>
    <w:p>
      <w:pPr>
        <w:ind w:firstLine="1260" w:firstLineChars="573"/>
        <w:rPr>
          <w:rFonts w:ascii="TimesNewRomanPSMT" w:hAnsi="TimesNewRomanPSMT"/>
          <w:sz w:val="20"/>
        </w:rPr>
      </w:pPr>
      <w:r>
        <w:rPr>
          <w:rFonts w:hint="eastAsia"/>
          <w:szCs w:val="24"/>
        </w:rPr>
        <w:t xml:space="preserve"> 2.评分表中每个考核项目所扣分数不超过本项分值。</w:t>
      </w:r>
    </w:p>
    <w:p>
      <w:pPr>
        <w:pStyle w:val="3"/>
        <w:keepNext/>
        <w:keepLines/>
        <w:autoSpaceDE/>
        <w:autoSpaceDN/>
        <w:spacing w:line="360" w:lineRule="auto"/>
        <w:ind w:left="0"/>
        <w:jc w:val="both"/>
        <w:rPr>
          <w:kern w:val="2"/>
          <w:sz w:val="24"/>
          <w:szCs w:val="32"/>
          <w:lang w:val="en-US" w:eastAsia="zh-CN" w:bidi="ar-SA"/>
        </w:rPr>
      </w:pPr>
      <w:bookmarkStart w:id="10" w:name="_Toc21247"/>
      <w:r>
        <w:rPr>
          <w:rFonts w:hint="eastAsia"/>
          <w:kern w:val="2"/>
          <w:sz w:val="24"/>
          <w:szCs w:val="32"/>
          <w:lang w:val="en-US" w:eastAsia="zh-CN" w:bidi="ar-SA"/>
        </w:rPr>
        <w:t>3.3 评分规程</w:t>
      </w:r>
      <w:bookmarkEnd w:id="10"/>
    </w:p>
    <w:p>
      <w:pPr>
        <w:autoSpaceDE/>
        <w:autoSpaceDN/>
        <w:spacing w:line="360" w:lineRule="auto"/>
        <w:ind w:firstLine="535" w:firstLineChars="223"/>
        <w:jc w:val="both"/>
        <w:rPr>
          <w:rFonts w:eastAsiaTheme="minorEastAsia"/>
          <w:kern w:val="2"/>
          <w:sz w:val="24"/>
          <w:szCs w:val="24"/>
          <w:lang w:bidi="ar-SA"/>
        </w:rPr>
      </w:pPr>
      <w:bookmarkStart w:id="11" w:name="_Hlk15449891"/>
      <w:r>
        <w:rPr>
          <w:rFonts w:hint="eastAsia" w:eastAsiaTheme="minorEastAsia"/>
          <w:kern w:val="2"/>
          <w:sz w:val="24"/>
          <w:szCs w:val="24"/>
          <w:lang w:bidi="ar-SA"/>
        </w:rPr>
        <w:t>（1）设立本赛项裁判组，包括裁判员6人，其中1名任裁判组长，1名任</w:t>
      </w:r>
      <w:bookmarkStart w:id="12" w:name="_Hlk14010486"/>
      <w:r>
        <w:rPr>
          <w:rFonts w:hint="eastAsia" w:eastAsiaTheme="minorEastAsia"/>
          <w:kern w:val="2"/>
          <w:sz w:val="24"/>
          <w:szCs w:val="24"/>
          <w:lang w:bidi="ar-SA"/>
        </w:rPr>
        <w:t>裁判副组长</w:t>
      </w:r>
      <w:bookmarkEnd w:id="12"/>
      <w:r>
        <w:rPr>
          <w:rFonts w:hint="eastAsia" w:eastAsiaTheme="minorEastAsia"/>
          <w:kern w:val="2"/>
          <w:sz w:val="24"/>
          <w:szCs w:val="24"/>
          <w:lang w:bidi="ar-SA"/>
        </w:rPr>
        <w:t>。裁判组长受擂台赛组委会总裁组委托负责本赛项裁判工作，裁判副组长协助裁判组长工作，其他裁判员根据裁判组长、副组长的安排进行过程监督、测量、评分。</w:t>
      </w:r>
    </w:p>
    <w:p>
      <w:pPr>
        <w:autoSpaceDE/>
        <w:autoSpaceDN/>
        <w:spacing w:line="360" w:lineRule="auto"/>
        <w:ind w:firstLine="535" w:firstLineChars="223"/>
        <w:jc w:val="both"/>
        <w:rPr>
          <w:rFonts w:eastAsiaTheme="minorEastAsia"/>
          <w:kern w:val="2"/>
          <w:sz w:val="24"/>
          <w:szCs w:val="24"/>
          <w:lang w:bidi="ar-SA"/>
        </w:rPr>
      </w:pPr>
      <w:r>
        <w:rPr>
          <w:rFonts w:hint="eastAsia" w:eastAsiaTheme="minorEastAsia"/>
          <w:kern w:val="2"/>
          <w:sz w:val="24"/>
          <w:szCs w:val="24"/>
          <w:lang w:bidi="ar-SA"/>
        </w:rPr>
        <w:t>（2）竞赛期间，裁判组分成3个小组，每小组2人，每小组负责10个工位的过程监督。</w:t>
      </w:r>
    </w:p>
    <w:p>
      <w:pPr>
        <w:autoSpaceDE/>
        <w:autoSpaceDN/>
        <w:spacing w:line="360" w:lineRule="auto"/>
        <w:ind w:firstLine="535" w:firstLineChars="223"/>
        <w:jc w:val="both"/>
        <w:rPr>
          <w:rFonts w:eastAsiaTheme="minorEastAsia"/>
          <w:kern w:val="2"/>
          <w:sz w:val="24"/>
          <w:szCs w:val="24"/>
          <w:lang w:bidi="ar-SA"/>
        </w:rPr>
      </w:pPr>
      <w:r>
        <w:rPr>
          <w:rFonts w:hint="eastAsia" w:eastAsiaTheme="minorEastAsia"/>
          <w:kern w:val="2"/>
          <w:sz w:val="24"/>
          <w:szCs w:val="24"/>
          <w:lang w:bidi="ar-SA"/>
        </w:rPr>
        <w:t>（3）对于“职业素养”和“工效”评分项，由负责监督该工位的2名裁判员共同评分,裁判组长予以确认。</w:t>
      </w:r>
    </w:p>
    <w:p>
      <w:pPr>
        <w:autoSpaceDE/>
        <w:autoSpaceDN/>
        <w:spacing w:line="360" w:lineRule="auto"/>
        <w:ind w:firstLine="535" w:firstLineChars="223"/>
        <w:jc w:val="both"/>
        <w:rPr>
          <w:rFonts w:eastAsiaTheme="minorEastAsia"/>
          <w:kern w:val="2"/>
          <w:sz w:val="24"/>
          <w:szCs w:val="24"/>
          <w:lang w:bidi="ar-SA"/>
        </w:rPr>
      </w:pPr>
      <w:r>
        <w:rPr>
          <w:rFonts w:hint="eastAsia" w:eastAsiaTheme="minorEastAsia"/>
          <w:kern w:val="2"/>
          <w:sz w:val="24"/>
          <w:szCs w:val="24"/>
          <w:lang w:bidi="ar-SA"/>
        </w:rPr>
        <w:t>（4）对于“成品外观”评分项，由全体裁判员共同评分（去掉一个最高分和一个最低分后，取平均分）。</w:t>
      </w:r>
    </w:p>
    <w:p>
      <w:pPr>
        <w:autoSpaceDE/>
        <w:autoSpaceDN/>
        <w:spacing w:line="360" w:lineRule="auto"/>
        <w:ind w:firstLine="535" w:firstLineChars="223"/>
        <w:jc w:val="both"/>
        <w:rPr>
          <w:rFonts w:eastAsiaTheme="minorEastAsia"/>
          <w:kern w:val="2"/>
          <w:sz w:val="24"/>
          <w:szCs w:val="24"/>
          <w:lang w:bidi="ar-SA"/>
        </w:rPr>
      </w:pPr>
      <w:r>
        <w:rPr>
          <w:rFonts w:hint="eastAsia" w:eastAsiaTheme="minorEastAsia"/>
          <w:kern w:val="2"/>
          <w:sz w:val="24"/>
          <w:szCs w:val="24"/>
          <w:lang w:bidi="ar-SA"/>
        </w:rPr>
        <w:t>（5）对于“放样”、“模板安装”、“铝模加固”评分项，由裁判组长组织所有裁判员抽取评分点，按照抽出的评分点进行测量评分。裁判员分成两组，每组3人，第一组裁判对所有选手进行“放样”、“铝模加固”部分的评判，第二组裁判对所有选手进行“模板安装”部分的评判</w:t>
      </w:r>
    </w:p>
    <w:p>
      <w:pPr>
        <w:autoSpaceDE/>
        <w:autoSpaceDN/>
        <w:spacing w:line="360" w:lineRule="auto"/>
        <w:ind w:firstLine="535" w:firstLineChars="223"/>
        <w:jc w:val="both"/>
        <w:rPr>
          <w:rFonts w:eastAsiaTheme="minorEastAsia"/>
          <w:kern w:val="2"/>
          <w:sz w:val="24"/>
          <w:szCs w:val="24"/>
          <w:lang w:bidi="ar-SA"/>
        </w:rPr>
      </w:pPr>
      <w:r>
        <w:rPr>
          <w:rFonts w:hint="eastAsia" w:eastAsiaTheme="minorEastAsia"/>
          <w:kern w:val="2"/>
          <w:sz w:val="24"/>
          <w:szCs w:val="24"/>
          <w:lang w:bidi="ar-SA"/>
        </w:rPr>
        <w:t>（6）竞赛结束后，立即清场，不允许选手在场，只允许裁判人员在场。</w:t>
      </w:r>
    </w:p>
    <w:p>
      <w:pPr>
        <w:autoSpaceDE/>
        <w:autoSpaceDN/>
        <w:spacing w:line="360" w:lineRule="auto"/>
        <w:ind w:firstLine="535" w:firstLineChars="223"/>
        <w:jc w:val="both"/>
        <w:rPr>
          <w:rFonts w:eastAsiaTheme="minorEastAsia"/>
          <w:kern w:val="2"/>
          <w:sz w:val="24"/>
          <w:szCs w:val="24"/>
          <w:lang w:bidi="ar-SA"/>
        </w:rPr>
      </w:pPr>
      <w:r>
        <w:rPr>
          <w:rFonts w:hint="eastAsia" w:eastAsiaTheme="minorEastAsia"/>
          <w:kern w:val="2"/>
          <w:sz w:val="24"/>
          <w:szCs w:val="24"/>
          <w:lang w:bidi="ar-SA"/>
        </w:rPr>
        <w:t>（7）裁判员评判时所用的检测工具将尽量使用选手所用工具。</w:t>
      </w:r>
    </w:p>
    <w:p>
      <w:pPr>
        <w:autoSpaceDE/>
        <w:autoSpaceDN/>
        <w:spacing w:line="360" w:lineRule="auto"/>
        <w:ind w:firstLine="535" w:firstLineChars="223"/>
        <w:jc w:val="both"/>
        <w:rPr>
          <w:sz w:val="24"/>
          <w:szCs w:val="24"/>
        </w:rPr>
      </w:pPr>
      <w:r>
        <w:rPr>
          <w:rFonts w:hint="eastAsia" w:eastAsiaTheme="minorEastAsia"/>
          <w:kern w:val="2"/>
          <w:sz w:val="24"/>
          <w:szCs w:val="24"/>
          <w:lang w:bidi="ar-SA"/>
        </w:rPr>
        <w:t>（8）评判过程中出现争议，由负责联系该赛项的总裁组成员组织裁判组表决,并参与表决。</w:t>
      </w:r>
      <w:bookmarkEnd w:id="11"/>
    </w:p>
    <w:p>
      <w:pPr>
        <w:pStyle w:val="2"/>
        <w:autoSpaceDE/>
        <w:autoSpaceDN/>
        <w:spacing w:line="360" w:lineRule="auto"/>
        <w:jc w:val="both"/>
        <w:rPr>
          <w:rFonts w:ascii="黑体" w:hAnsi="黑体" w:eastAsia="黑体" w:cs="黑体"/>
          <w:b w:val="0"/>
          <w:sz w:val="24"/>
          <w:szCs w:val="24"/>
          <w:lang w:val="en-US" w:eastAsia="zh-CN" w:bidi="ar-SA"/>
        </w:rPr>
      </w:pPr>
      <w:bookmarkStart w:id="13" w:name="_Toc5358"/>
      <w:r>
        <w:rPr>
          <w:rFonts w:hint="eastAsia" w:ascii="黑体" w:hAnsi="黑体" w:eastAsia="黑体" w:cs="黑体"/>
          <w:b w:val="0"/>
          <w:sz w:val="24"/>
          <w:szCs w:val="24"/>
          <w:lang w:val="en-US" w:eastAsia="zh-CN" w:bidi="ar-SA"/>
        </w:rPr>
        <w:t>4. 竞赛场地、设施、料具</w:t>
      </w:r>
      <w:bookmarkEnd w:id="13"/>
    </w:p>
    <w:p>
      <w:pPr>
        <w:pStyle w:val="3"/>
        <w:keepNext/>
        <w:keepLines/>
        <w:autoSpaceDE/>
        <w:autoSpaceDN/>
        <w:spacing w:line="360" w:lineRule="auto"/>
        <w:ind w:left="0"/>
        <w:jc w:val="both"/>
        <w:rPr>
          <w:kern w:val="2"/>
          <w:sz w:val="24"/>
          <w:szCs w:val="32"/>
          <w:lang w:val="en-US" w:eastAsia="zh-CN" w:bidi="ar-SA"/>
        </w:rPr>
      </w:pPr>
      <w:bookmarkStart w:id="14" w:name="_Toc25451"/>
      <w:r>
        <w:rPr>
          <w:rFonts w:hint="eastAsia"/>
          <w:kern w:val="2"/>
          <w:sz w:val="24"/>
          <w:szCs w:val="32"/>
          <w:lang w:val="en-US" w:eastAsia="zh-CN" w:bidi="ar-SA"/>
        </w:rPr>
        <w:t>4.1 场地设施</w:t>
      </w:r>
      <w:bookmarkEnd w:id="14"/>
    </w:p>
    <w:p>
      <w:pPr>
        <w:autoSpaceDE/>
        <w:autoSpaceDN/>
        <w:spacing w:line="360" w:lineRule="auto"/>
        <w:ind w:firstLine="535" w:firstLineChars="223"/>
        <w:jc w:val="both"/>
        <w:rPr>
          <w:rFonts w:eastAsiaTheme="minorEastAsia"/>
          <w:kern w:val="2"/>
          <w:sz w:val="24"/>
          <w:szCs w:val="24"/>
          <w:lang w:bidi="ar-SA"/>
        </w:rPr>
      </w:pPr>
      <w:r>
        <w:rPr>
          <w:rFonts w:hint="eastAsia" w:eastAsiaTheme="minorEastAsia"/>
          <w:kern w:val="2"/>
          <w:sz w:val="24"/>
          <w:szCs w:val="24"/>
          <w:lang w:bidi="ar-SA"/>
        </w:rPr>
        <w:t>（1）场地共设置</w:t>
      </w:r>
      <w:r>
        <w:rPr>
          <w:rFonts w:eastAsiaTheme="minorEastAsia"/>
          <w:kern w:val="2"/>
          <w:sz w:val="24"/>
          <w:szCs w:val="24"/>
          <w:lang w:bidi="ar-SA"/>
        </w:rPr>
        <w:t>工位数量</w:t>
      </w:r>
      <w:r>
        <w:rPr>
          <w:rFonts w:hint="eastAsia" w:eastAsiaTheme="minorEastAsia"/>
          <w:kern w:val="2"/>
          <w:sz w:val="24"/>
          <w:szCs w:val="24"/>
          <w:lang w:bidi="ar-SA"/>
        </w:rPr>
        <w:t>30个</w:t>
      </w:r>
      <w:r>
        <w:rPr>
          <w:rFonts w:eastAsiaTheme="minorEastAsia"/>
          <w:kern w:val="2"/>
          <w:sz w:val="24"/>
          <w:szCs w:val="24"/>
          <w:lang w:bidi="ar-SA"/>
        </w:rPr>
        <w:t>，每个工位长</w:t>
      </w:r>
      <w:r>
        <w:rPr>
          <w:rFonts w:hint="eastAsia" w:eastAsiaTheme="minorEastAsia"/>
          <w:kern w:val="2"/>
          <w:sz w:val="24"/>
          <w:szCs w:val="24"/>
          <w:lang w:bidi="ar-SA"/>
        </w:rPr>
        <w:t>5</w:t>
      </w:r>
      <w:r>
        <w:rPr>
          <w:rFonts w:eastAsiaTheme="minorEastAsia"/>
          <w:kern w:val="2"/>
          <w:sz w:val="24"/>
          <w:szCs w:val="24"/>
          <w:lang w:bidi="ar-SA"/>
        </w:rPr>
        <w:t>米，宽</w:t>
      </w:r>
      <w:r>
        <w:rPr>
          <w:rFonts w:hint="eastAsia" w:eastAsiaTheme="minorEastAsia"/>
          <w:kern w:val="2"/>
          <w:sz w:val="24"/>
          <w:szCs w:val="24"/>
          <w:lang w:bidi="ar-SA"/>
        </w:rPr>
        <w:t>5</w:t>
      </w:r>
      <w:r>
        <w:rPr>
          <w:rFonts w:eastAsiaTheme="minorEastAsia"/>
          <w:kern w:val="2"/>
          <w:sz w:val="24"/>
          <w:szCs w:val="24"/>
          <w:lang w:bidi="ar-SA"/>
        </w:rPr>
        <w:t>米，工位地面硬化、平整、无其他建筑物或构筑物干扰，工位采光、照明和通风良好，安装过程无雨水等环境因素影响。</w:t>
      </w:r>
    </w:p>
    <w:p>
      <w:pPr>
        <w:autoSpaceDE/>
        <w:autoSpaceDN/>
        <w:spacing w:line="360" w:lineRule="auto"/>
        <w:ind w:firstLine="535" w:firstLineChars="223"/>
        <w:jc w:val="both"/>
        <w:rPr>
          <w:rFonts w:eastAsiaTheme="minorEastAsia"/>
          <w:kern w:val="2"/>
          <w:sz w:val="24"/>
          <w:szCs w:val="24"/>
          <w:lang w:bidi="ar-SA"/>
        </w:rPr>
      </w:pPr>
      <w:r>
        <w:rPr>
          <w:rFonts w:hint="eastAsia" w:eastAsiaTheme="minorEastAsia"/>
          <w:kern w:val="2"/>
          <w:sz w:val="24"/>
          <w:szCs w:val="24"/>
          <w:lang w:bidi="ar-SA"/>
        </w:rPr>
        <w:t>（2）竞赛场地地面平整度要求不超过±5mm。</w:t>
      </w:r>
    </w:p>
    <w:p>
      <w:pPr>
        <w:autoSpaceDE/>
        <w:autoSpaceDN/>
        <w:spacing w:line="360" w:lineRule="auto"/>
        <w:ind w:firstLine="535" w:firstLineChars="223"/>
        <w:jc w:val="both"/>
        <w:rPr>
          <w:rFonts w:eastAsiaTheme="minorEastAsia"/>
          <w:kern w:val="2"/>
          <w:sz w:val="24"/>
          <w:szCs w:val="24"/>
          <w:lang w:bidi="ar-SA"/>
        </w:rPr>
      </w:pPr>
      <w:r>
        <w:rPr>
          <w:rFonts w:hint="eastAsia" w:eastAsiaTheme="minorEastAsia"/>
          <w:kern w:val="2"/>
          <w:sz w:val="24"/>
          <w:szCs w:val="24"/>
          <w:lang w:bidi="ar-SA"/>
        </w:rPr>
        <w:t>（3）工位上配备电源插座（五孔插座）。</w:t>
      </w:r>
    </w:p>
    <w:p>
      <w:pPr>
        <w:autoSpaceDE/>
        <w:autoSpaceDN/>
        <w:spacing w:line="360" w:lineRule="auto"/>
        <w:ind w:firstLine="535" w:firstLineChars="223"/>
        <w:jc w:val="both"/>
        <w:rPr>
          <w:rFonts w:eastAsiaTheme="minorEastAsia"/>
          <w:kern w:val="2"/>
          <w:sz w:val="24"/>
          <w:szCs w:val="24"/>
          <w:lang w:bidi="ar-SA"/>
        </w:rPr>
      </w:pPr>
      <w:r>
        <w:rPr>
          <w:rFonts w:hint="eastAsia" w:eastAsiaTheme="minorEastAsia"/>
          <w:kern w:val="2"/>
          <w:sz w:val="24"/>
          <w:szCs w:val="24"/>
          <w:lang w:bidi="ar-SA"/>
        </w:rPr>
        <w:t>（4）</w:t>
      </w:r>
      <w:r>
        <w:rPr>
          <w:rFonts w:eastAsiaTheme="minorEastAsia"/>
          <w:kern w:val="2"/>
          <w:sz w:val="24"/>
          <w:szCs w:val="24"/>
          <w:lang w:bidi="ar-SA"/>
        </w:rPr>
        <w:t xml:space="preserve">每个工位旁留有至少 </w:t>
      </w:r>
      <w:r>
        <w:rPr>
          <w:rFonts w:hint="eastAsia" w:eastAsiaTheme="minorEastAsia"/>
          <w:kern w:val="2"/>
          <w:sz w:val="24"/>
          <w:szCs w:val="24"/>
          <w:lang w:bidi="ar-SA"/>
        </w:rPr>
        <w:t>1.5</w:t>
      </w:r>
      <w:r>
        <w:rPr>
          <w:rFonts w:eastAsiaTheme="minorEastAsia"/>
          <w:kern w:val="2"/>
          <w:sz w:val="24"/>
          <w:szCs w:val="24"/>
          <w:lang w:bidi="ar-SA"/>
        </w:rPr>
        <w:t>米的材料运输通道（参观</w:t>
      </w:r>
      <w:r>
        <w:rPr>
          <w:rFonts w:hint="eastAsia" w:eastAsiaTheme="minorEastAsia"/>
          <w:kern w:val="2"/>
          <w:sz w:val="24"/>
          <w:szCs w:val="24"/>
          <w:lang w:bidi="ar-SA"/>
        </w:rPr>
        <w:t>通道</w:t>
      </w:r>
      <w:r>
        <w:rPr>
          <w:rFonts w:eastAsiaTheme="minorEastAsia"/>
          <w:kern w:val="2"/>
          <w:sz w:val="24"/>
          <w:szCs w:val="24"/>
          <w:lang w:bidi="ar-SA"/>
        </w:rPr>
        <w:t>）。</w:t>
      </w:r>
    </w:p>
    <w:p>
      <w:pPr>
        <w:autoSpaceDE/>
        <w:autoSpaceDN/>
        <w:spacing w:line="360" w:lineRule="auto"/>
        <w:ind w:firstLine="535" w:firstLineChars="223"/>
        <w:jc w:val="both"/>
        <w:rPr>
          <w:rFonts w:eastAsiaTheme="minorEastAsia"/>
          <w:kern w:val="2"/>
          <w:sz w:val="24"/>
          <w:szCs w:val="24"/>
          <w:lang w:bidi="ar-SA"/>
        </w:rPr>
      </w:pPr>
      <w:r>
        <w:rPr>
          <w:rFonts w:hint="eastAsia" w:eastAsiaTheme="minorEastAsia"/>
          <w:kern w:val="2"/>
          <w:sz w:val="24"/>
          <w:szCs w:val="24"/>
          <w:lang w:bidi="ar-SA"/>
        </w:rPr>
        <w:t>（5）每个工位旁预留一个开关箱。如下图：</w:t>
      </w:r>
    </w:p>
    <w:tbl>
      <w:tblPr>
        <w:tblStyle w:val="9"/>
        <w:tblpPr w:leftFromText="180" w:rightFromText="180" w:vertAnchor="text" w:horzAnchor="margin" w:tblpXSpec="center" w:tblpY="988"/>
        <w:tblOverlap w:val="never"/>
        <w:tblW w:w="84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2"/>
        <w:gridCol w:w="1204"/>
        <w:gridCol w:w="1204"/>
        <w:gridCol w:w="1204"/>
        <w:gridCol w:w="1204"/>
        <w:gridCol w:w="1204"/>
        <w:gridCol w:w="12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4" w:hRule="atLeast"/>
        </w:trPr>
        <w:tc>
          <w:tcPr>
            <w:tcW w:w="1202" w:type="dxa"/>
            <w:vAlign w:val="center"/>
          </w:tcPr>
          <w:p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工位1</w:t>
            </w: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工位2</w:t>
            </w: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工位3</w:t>
            </w: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工位4</w:t>
            </w: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工位5</w:t>
            </w: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工位6</w:t>
            </w: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工位</w:t>
            </w:r>
          </w:p>
          <w:p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7…15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26" w:type="dxa"/>
            <w:gridSpan w:val="7"/>
            <w:vAlign w:val="center"/>
          </w:tcPr>
          <w:p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裁判巡视检测（参观）通道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202" w:type="dxa"/>
            <w:vAlign w:val="center"/>
          </w:tcPr>
          <w:p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工位16</w:t>
            </w: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工位17</w:t>
            </w: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工位18</w:t>
            </w: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工位19</w:t>
            </w: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工位20</w:t>
            </w: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工位21</w:t>
            </w: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工位22…30</w:t>
            </w:r>
          </w:p>
        </w:tc>
      </w:tr>
    </w:tbl>
    <w:p>
      <w:pPr>
        <w:spacing w:line="360" w:lineRule="auto"/>
        <w:ind w:firstLine="960" w:firstLineChars="400"/>
        <w:jc w:val="center"/>
        <w:rPr>
          <w:rFonts w:ascii="TimesNewRomanPSMT" w:hAnsi="TimesNewRomanPSMT" w:eastAsia="TimesNewRomanPSMT"/>
          <w:sz w:val="20"/>
        </w:rPr>
      </w:pPr>
      <w:r>
        <w:rPr>
          <w:rFonts w:hint="eastAsia"/>
          <w:bCs/>
          <w:sz w:val="24"/>
          <w:szCs w:val="28"/>
        </w:rPr>
        <w:t>表1工位设置</w:t>
      </w:r>
    </w:p>
    <w:p>
      <w:pPr>
        <w:pStyle w:val="3"/>
        <w:keepNext/>
        <w:keepLines/>
        <w:autoSpaceDE/>
        <w:autoSpaceDN/>
        <w:spacing w:line="360" w:lineRule="auto"/>
        <w:ind w:left="0"/>
        <w:jc w:val="both"/>
        <w:rPr>
          <w:kern w:val="2"/>
          <w:sz w:val="24"/>
          <w:szCs w:val="32"/>
          <w:lang w:val="en-US" w:eastAsia="zh-CN" w:bidi="ar-SA"/>
        </w:rPr>
      </w:pPr>
      <w:bookmarkStart w:id="15" w:name="_Toc12677"/>
      <w:r>
        <w:rPr>
          <w:rFonts w:hint="eastAsia"/>
          <w:kern w:val="2"/>
          <w:sz w:val="24"/>
          <w:szCs w:val="32"/>
          <w:lang w:val="en-US" w:eastAsia="zh-CN" w:bidi="ar-SA"/>
        </w:rPr>
        <w:t>4.2 竞赛设备、工具、测量器具</w:t>
      </w:r>
      <w:bookmarkEnd w:id="15"/>
    </w:p>
    <w:p>
      <w:pPr>
        <w:autoSpaceDE/>
        <w:autoSpaceDN/>
        <w:spacing w:line="360" w:lineRule="auto"/>
        <w:ind w:firstLine="535" w:firstLineChars="223"/>
        <w:jc w:val="both"/>
        <w:rPr>
          <w:rFonts w:eastAsiaTheme="minorEastAsia"/>
          <w:kern w:val="2"/>
          <w:sz w:val="24"/>
          <w:szCs w:val="24"/>
          <w:lang w:bidi="ar-SA"/>
        </w:rPr>
      </w:pPr>
      <w:bookmarkStart w:id="16" w:name="_Hlk19533719"/>
      <w:r>
        <w:rPr>
          <w:rFonts w:hint="eastAsia" w:eastAsiaTheme="minorEastAsia"/>
          <w:kern w:val="2"/>
          <w:sz w:val="24"/>
          <w:szCs w:val="24"/>
          <w:lang w:bidi="ar-SA"/>
        </w:rPr>
        <w:t>擂台赛组委会</w:t>
      </w:r>
      <w:r>
        <w:rPr>
          <w:rFonts w:eastAsiaTheme="minorEastAsia"/>
          <w:kern w:val="2"/>
          <w:sz w:val="24"/>
          <w:szCs w:val="24"/>
          <w:lang w:bidi="ar-SA"/>
        </w:rPr>
        <w:t>提供30</w:t>
      </w:r>
      <w:r>
        <w:rPr>
          <w:rFonts w:hint="eastAsia" w:eastAsiaTheme="minorEastAsia"/>
          <w:kern w:val="2"/>
          <w:sz w:val="24"/>
          <w:szCs w:val="24"/>
          <w:lang w:bidi="ar-SA"/>
        </w:rPr>
        <w:t>个工位的料具，备用2个工位的料具。</w:t>
      </w:r>
    </w:p>
    <w:p>
      <w:pPr>
        <w:autoSpaceDE/>
        <w:autoSpaceDN/>
        <w:spacing w:line="360" w:lineRule="auto"/>
        <w:ind w:firstLine="535" w:firstLineChars="223"/>
        <w:jc w:val="both"/>
        <w:rPr>
          <w:rFonts w:eastAsiaTheme="minorEastAsia"/>
          <w:kern w:val="2"/>
          <w:sz w:val="24"/>
          <w:szCs w:val="24"/>
          <w:lang w:bidi="ar-SA"/>
        </w:rPr>
      </w:pPr>
      <w:r>
        <w:rPr>
          <w:rFonts w:hint="eastAsia" w:eastAsiaTheme="minorEastAsia"/>
          <w:kern w:val="2"/>
          <w:sz w:val="24"/>
          <w:szCs w:val="24"/>
          <w:lang w:bidi="ar-SA"/>
        </w:rPr>
        <w:t>单个工位</w:t>
      </w:r>
      <w:r>
        <w:rPr>
          <w:rFonts w:eastAsiaTheme="minorEastAsia"/>
          <w:kern w:val="2"/>
          <w:sz w:val="24"/>
          <w:szCs w:val="24"/>
          <w:lang w:bidi="ar-SA"/>
        </w:rPr>
        <w:t>材料、机具及设备</w:t>
      </w:r>
      <w:bookmarkEnd w:id="16"/>
      <w:r>
        <w:rPr>
          <w:rFonts w:eastAsiaTheme="minorEastAsia"/>
          <w:kern w:val="2"/>
          <w:sz w:val="24"/>
          <w:szCs w:val="24"/>
          <w:lang w:bidi="ar-SA"/>
        </w:rPr>
        <w:t>清单</w:t>
      </w:r>
      <w:r>
        <w:rPr>
          <w:rFonts w:hint="eastAsia" w:eastAsiaTheme="minorEastAsia"/>
          <w:kern w:val="2"/>
          <w:sz w:val="24"/>
          <w:szCs w:val="24"/>
          <w:lang w:bidi="ar-SA"/>
        </w:rPr>
        <w:t>如下：</w:t>
      </w:r>
    </w:p>
    <w:p>
      <w:pPr>
        <w:adjustRightInd w:val="0"/>
        <w:snapToGrid w:val="0"/>
        <w:spacing w:line="360" w:lineRule="auto"/>
        <w:ind w:firstLine="480" w:firstLineChars="200"/>
        <w:jc w:val="center"/>
        <w:rPr>
          <w:bCs/>
          <w:sz w:val="24"/>
          <w:szCs w:val="28"/>
        </w:rPr>
      </w:pPr>
      <w:r>
        <w:rPr>
          <w:rFonts w:hint="eastAsia"/>
          <w:bCs/>
          <w:sz w:val="24"/>
          <w:szCs w:val="28"/>
        </w:rPr>
        <w:t>表2-1 材料（每个工位）</w:t>
      </w:r>
    </w:p>
    <w:tbl>
      <w:tblPr>
        <w:tblStyle w:val="9"/>
        <w:tblW w:w="99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7"/>
        <w:gridCol w:w="1061"/>
        <w:gridCol w:w="1791"/>
        <w:gridCol w:w="709"/>
        <w:gridCol w:w="741"/>
        <w:gridCol w:w="762"/>
        <w:gridCol w:w="1426"/>
        <w:gridCol w:w="1247"/>
        <w:gridCol w:w="702"/>
        <w:gridCol w:w="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587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1061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铝模板名称</w:t>
            </w:r>
          </w:p>
        </w:tc>
        <w:tc>
          <w:tcPr>
            <w:tcW w:w="3638" w:type="dxa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铝件规格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单件面积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数量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总面积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87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1061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宽度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规格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长度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异形标志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(m2)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件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(m2）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100 B 750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750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0.08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0.08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100 B 900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0.09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150 B 900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0.14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250 B 1100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0.28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0.55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250 B 500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0.13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0.13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250 B 700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0.18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300 B 500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0.15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400 B 500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0.20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1.40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200 BD 250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BD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0.05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200 BD 600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BD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0.12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350 BD 900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350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BD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0.32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0.32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400 BD 250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BD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0.10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0.20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400 BD 600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BD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0.24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0.24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200 BDS 700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BDS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0.14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100 BEC 550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BEC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550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0.06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0.06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200 BEC 900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BEC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0.18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17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100 BP 200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BP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0.02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0.02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18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150 BP 200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BP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0.03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0.03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19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100 BS 700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BS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0.07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0.07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150 BS 700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BS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0.11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0.21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21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250 BS 600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BS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0.15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22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 CJ 1640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CJ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1640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0.49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0.49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23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400 D 800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0.32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1.28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24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400 D 900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0.36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1.44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DP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DP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0.02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0.02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26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EB 700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EB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0.07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27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85 EC 150+150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EC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0.01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0.05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28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85 EC 600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EC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0.01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29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EC 100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EC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0.00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0.00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30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EC 1200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EC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0.00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0.00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31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EC 1500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EC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0.00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0.00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EC 200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EC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0.00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0.00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33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EC 300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EC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0.00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0.00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34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EC 400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EC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0.00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0.00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35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EC 600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EC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0.00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0.00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36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EC 700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EC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0.00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0.00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37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EC 800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EC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0.00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0.00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38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300 GB 300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GB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0.09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39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400 GB 300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GB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0.12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0.24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400 GB 600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GB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0.24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0.48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41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1015 IC 1500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IC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0.38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0.38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42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1015 IC 400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IC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0.10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43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 IC 200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IC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0.06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44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 IC 250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IC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0.08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0.23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45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 IC 300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IC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0.09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46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 IC 400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IC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0.12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0.48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47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 IC 700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IC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0.21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0.42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48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1510 IC 100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IC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0.03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0.03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49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300 K 250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K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0.08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50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300 K 600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K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0.18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51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400 K 100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K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0.04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0.04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52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400 K 150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K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0.06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0.24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53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400 K 1500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K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0.60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0.60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54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400 K 200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K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0.08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0.16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55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400 K 250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K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0.10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0.30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56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400 K 600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K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0.24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0.48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57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400 K 800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K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0.32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0.32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58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200 N3 600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N3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0.12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0.36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59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200 N3DS 600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N3DS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0.12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60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 N3SL 200 L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N3SL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L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0.06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61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 N3SL 200 R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N3SL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R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0.06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62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1015 SC 250+250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SC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0.13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0.25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63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1115 SC 350+350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260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SC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0.18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0.73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64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1510 SC 250+250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SC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0.13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0.88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65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1015 SL 215 MKL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SL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215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MKL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0.05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0.05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66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1015 SL 215 MKR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SL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215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MKR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0.05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0.05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67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1115 SL 1000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260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SL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0.26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0.52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68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1115 SL 500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260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SL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0.13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0.13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69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1115 SL 600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260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SL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0.16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0.16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70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 SL 400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260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SL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0.10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0.42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71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 SL 215 MKR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SL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215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MKR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0.06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0.06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72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 SL 330 MMK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SL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330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MMK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0.10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0.20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73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 SL 365 MKL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SL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365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MKL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0.11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74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 SL 415 MKR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SL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415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MKR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0.12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75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1510 SL 215 MKL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SL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215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MKL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0.05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0.16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76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1510 SL 215 MKR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SL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215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MKR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0.05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0.16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77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1510 SL 650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SL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650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0.16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0.16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78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1015 SLY 400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SLY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0.10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79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1115 SLY 400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260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SLY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0.10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0.21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80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1115 SLY 600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260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SLY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0.16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0.16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81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1115 SLY 700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260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SLY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0.18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82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1510 SLY 400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SLY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0.10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0.30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83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100 W 1500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W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0.15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84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150 W 1500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W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0.23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0.23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85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150 W 1500 J50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W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J50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0.23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0.68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86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200 W 1500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W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0.30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0.90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87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200 W 700 K150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W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K150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0.14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88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250 W 1500 150K150/800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W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150K150/800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0.38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0.38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89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250 W 700 100K150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W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100K150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0.18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90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250 W 700 50K150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W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50K150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0.18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91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300 W 750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W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750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0.23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0.68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92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350 W 1500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350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W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0.53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1.05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93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400 W 1500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W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0.60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0.60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94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400 W 1500 K150/800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W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K150/800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0.60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1.80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95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400 W 1500 K150/800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W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K150/800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0.60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0.60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96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400 W 600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W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0.24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0.48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97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400 W 700 300K150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W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300K150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0.28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0.28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98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100 WEC 100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WEC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100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0.01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0.01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99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100 WR 1645 J50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WR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1645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J50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0.16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0.16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100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100 WR 395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WR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395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0.04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0.04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101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150 WR 1245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WR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1245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0.19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0.19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102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300 WR 1245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WR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1245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0.37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0.37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103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350 WR 1245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350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WR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1245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0.44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0.44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104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400 WR 1645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WR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1645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0.66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0.66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105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400 WR 1645 100K145/800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WR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1645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100K145/800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0.66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1.32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106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400 WR 1645 K145/800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WR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1645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K145/800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0.66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1.97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107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400 WR 395 250K145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WR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395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250K145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0.16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0.32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108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200 WREC 995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WREC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995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0.20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0.20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109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标准板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BB连接条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4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0.00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0.00 </w:t>
            </w:r>
          </w:p>
        </w:tc>
      </w:tr>
    </w:tbl>
    <w:p>
      <w:pPr>
        <w:spacing w:line="245" w:lineRule="exact"/>
        <w:ind w:right="-20"/>
        <w:jc w:val="center"/>
        <w:rPr>
          <w:spacing w:val="-2"/>
          <w:position w:val="-1"/>
          <w:szCs w:val="21"/>
        </w:rPr>
      </w:pPr>
    </w:p>
    <w:p>
      <w:pPr>
        <w:spacing w:line="245" w:lineRule="exact"/>
        <w:ind w:right="-20"/>
        <w:jc w:val="center"/>
        <w:rPr>
          <w:spacing w:val="-2"/>
          <w:position w:val="-1"/>
          <w:szCs w:val="21"/>
        </w:rPr>
      </w:pPr>
      <w:r>
        <w:rPr>
          <w:rFonts w:hint="eastAsia"/>
          <w:spacing w:val="-2"/>
          <w:position w:val="-1"/>
          <w:szCs w:val="21"/>
        </w:rPr>
        <w:t>表2-2</w:t>
      </w:r>
      <w:r>
        <w:rPr>
          <w:spacing w:val="-2"/>
          <w:position w:val="-1"/>
          <w:szCs w:val="21"/>
        </w:rPr>
        <w:t xml:space="preserve"> 材料（每个工位）</w:t>
      </w:r>
    </w:p>
    <w:tbl>
      <w:tblPr>
        <w:tblStyle w:val="9"/>
        <w:tblW w:w="9804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1276"/>
        <w:gridCol w:w="2977"/>
        <w:gridCol w:w="858"/>
        <w:gridCol w:w="993"/>
        <w:gridCol w:w="29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2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29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详细</w:t>
            </w:r>
          </w:p>
        </w:tc>
        <w:tc>
          <w:tcPr>
            <w:tcW w:w="8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单位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数量</w:t>
            </w:r>
          </w:p>
        </w:tc>
        <w:tc>
          <w:tcPr>
            <w:tcW w:w="29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rPr>
          <w:trHeight w:val="299" w:hRule="atLeast"/>
          <w:jc w:val="center"/>
        </w:trPr>
        <w:tc>
          <w:tcPr>
            <w:tcW w:w="7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29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8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29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短销钉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不镀锌（</w:t>
            </w:r>
            <w:r>
              <w:rPr>
                <w:szCs w:val="21"/>
              </w:rPr>
              <w:t>Ф25*54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500</w:t>
            </w:r>
          </w:p>
        </w:tc>
        <w:tc>
          <w:tcPr>
            <w:tcW w:w="2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销片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不镀锌（</w:t>
            </w:r>
            <w:r>
              <w:rPr>
                <w:szCs w:val="21"/>
              </w:rPr>
              <w:t>35*70*4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500</w:t>
            </w:r>
          </w:p>
        </w:tc>
        <w:tc>
          <w:tcPr>
            <w:tcW w:w="2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斜撑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长杆1200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条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29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根据实际使用量*90%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短杆600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条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297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底座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2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7字形螺杆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2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用于竖背楞和横向背楞连接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75*75*8*20垫片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2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螺杆数*2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高强螺母T18*35（45#钢）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2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按螺杆数*2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螺母M16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2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按斜撑数*4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1.5m竖向背楞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2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见图CF-PJ-01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螺丝M16*100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2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按斜撑数*4</w:t>
            </w:r>
          </w:p>
        </w:tc>
      </w:tr>
    </w:tbl>
    <w:p>
      <w:pPr>
        <w:spacing w:line="245" w:lineRule="exact"/>
        <w:ind w:right="-20"/>
        <w:jc w:val="both"/>
        <w:rPr>
          <w:spacing w:val="-2"/>
          <w:position w:val="-1"/>
          <w:szCs w:val="21"/>
        </w:rPr>
      </w:pPr>
    </w:p>
    <w:p>
      <w:pPr>
        <w:spacing w:line="360" w:lineRule="auto"/>
        <w:ind w:left="429" w:right="-20"/>
        <w:jc w:val="center"/>
        <w:rPr>
          <w:spacing w:val="-2"/>
          <w:position w:val="-1"/>
          <w:sz w:val="32"/>
          <w:szCs w:val="32"/>
        </w:rPr>
      </w:pPr>
      <w:r>
        <w:rPr>
          <w:rFonts w:hint="eastAsia"/>
          <w:spacing w:val="-2"/>
          <w:position w:val="-1"/>
          <w:sz w:val="24"/>
          <w:szCs w:val="24"/>
        </w:rPr>
        <w:t>表3 组委会提供机具及设备（每个工位）</w:t>
      </w:r>
    </w:p>
    <w:tbl>
      <w:tblPr>
        <w:tblStyle w:val="9"/>
        <w:tblW w:w="860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5"/>
        <w:gridCol w:w="2410"/>
        <w:gridCol w:w="2268"/>
        <w:gridCol w:w="1417"/>
        <w:gridCol w:w="156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exact"/>
          <w:jc w:val="center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序号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名称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规格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单位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数量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exact"/>
          <w:jc w:val="center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靠尺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2m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把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exact"/>
          <w:jc w:val="center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扫把、簸箕等清洁用具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套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exact"/>
          <w:jc w:val="center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环保废料桶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带封盖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exact"/>
          <w:jc w:val="center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塞尺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把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exact"/>
          <w:jc w:val="center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10号膨胀螺丝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exact"/>
          <w:jc w:val="center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木凳子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40cm高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</w:tbl>
    <w:p>
      <w:pPr>
        <w:pStyle w:val="2"/>
        <w:autoSpaceDE/>
        <w:autoSpaceDN/>
        <w:spacing w:line="360" w:lineRule="auto"/>
        <w:jc w:val="both"/>
        <w:rPr>
          <w:rFonts w:ascii="黑体" w:hAnsi="黑体" w:eastAsia="黑体" w:cs="黑体"/>
          <w:b w:val="0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sz w:val="24"/>
          <w:szCs w:val="24"/>
          <w:lang w:val="en-US" w:eastAsia="zh-CN" w:bidi="ar-SA"/>
        </w:rPr>
        <w:t>5.选手自带工具</w:t>
      </w:r>
    </w:p>
    <w:tbl>
      <w:tblPr>
        <w:tblStyle w:val="9"/>
        <w:tblW w:w="86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6"/>
        <w:gridCol w:w="2413"/>
        <w:gridCol w:w="2271"/>
        <w:gridCol w:w="1419"/>
        <w:gridCol w:w="15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exact"/>
          <w:jc w:val="center"/>
        </w:trPr>
        <w:tc>
          <w:tcPr>
            <w:tcW w:w="946" w:type="dxa"/>
            <w:vAlign w:val="center"/>
          </w:tcPr>
          <w:p>
            <w:pPr>
              <w:widowControl/>
              <w:jc w:val="center"/>
              <w:textAlignment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序号</w:t>
            </w:r>
          </w:p>
        </w:tc>
        <w:tc>
          <w:tcPr>
            <w:tcW w:w="2413" w:type="dxa"/>
            <w:vAlign w:val="center"/>
          </w:tcPr>
          <w:p>
            <w:pPr>
              <w:widowControl/>
              <w:jc w:val="center"/>
              <w:textAlignment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名称</w:t>
            </w:r>
          </w:p>
        </w:tc>
        <w:tc>
          <w:tcPr>
            <w:tcW w:w="2271" w:type="dxa"/>
            <w:vAlign w:val="center"/>
          </w:tcPr>
          <w:p>
            <w:pPr>
              <w:widowControl/>
              <w:jc w:val="center"/>
              <w:textAlignment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规格</w:t>
            </w:r>
          </w:p>
        </w:tc>
        <w:tc>
          <w:tcPr>
            <w:tcW w:w="1419" w:type="dxa"/>
            <w:vAlign w:val="center"/>
          </w:tcPr>
          <w:p>
            <w:pPr>
              <w:widowControl/>
              <w:jc w:val="center"/>
              <w:textAlignment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单位</w:t>
            </w:r>
          </w:p>
        </w:tc>
        <w:tc>
          <w:tcPr>
            <w:tcW w:w="1562" w:type="dxa"/>
            <w:vAlign w:val="center"/>
          </w:tcPr>
          <w:p>
            <w:pPr>
              <w:widowControl/>
              <w:jc w:val="center"/>
              <w:textAlignment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exact"/>
          <w:jc w:val="center"/>
        </w:trPr>
        <w:tc>
          <w:tcPr>
            <w:tcW w:w="946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2413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钢卷尺</w:t>
            </w:r>
          </w:p>
        </w:tc>
        <w:tc>
          <w:tcPr>
            <w:tcW w:w="2271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5m</w:t>
            </w:r>
          </w:p>
        </w:tc>
        <w:tc>
          <w:tcPr>
            <w:tcW w:w="1419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把</w:t>
            </w:r>
          </w:p>
        </w:tc>
        <w:tc>
          <w:tcPr>
            <w:tcW w:w="1562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exact"/>
          <w:jc w:val="center"/>
        </w:trPr>
        <w:tc>
          <w:tcPr>
            <w:tcW w:w="946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2413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铁锤</w:t>
            </w:r>
          </w:p>
        </w:tc>
        <w:tc>
          <w:tcPr>
            <w:tcW w:w="2271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1419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把</w:t>
            </w:r>
          </w:p>
        </w:tc>
        <w:tc>
          <w:tcPr>
            <w:tcW w:w="1562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exact"/>
          <w:jc w:val="center"/>
        </w:trPr>
        <w:tc>
          <w:tcPr>
            <w:tcW w:w="946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2413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撬棍</w:t>
            </w:r>
          </w:p>
        </w:tc>
        <w:tc>
          <w:tcPr>
            <w:tcW w:w="2271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1419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把</w:t>
            </w:r>
          </w:p>
        </w:tc>
        <w:tc>
          <w:tcPr>
            <w:tcW w:w="1562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exact"/>
          <w:jc w:val="center"/>
        </w:trPr>
        <w:tc>
          <w:tcPr>
            <w:tcW w:w="946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2413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bookmarkStart w:id="17" w:name="_Toc399238151"/>
            <w:r>
              <w:rPr>
                <w:rFonts w:hint="eastAsia"/>
                <w:szCs w:val="21"/>
              </w:rPr>
              <w:t>工具桶</w:t>
            </w:r>
            <w:bookmarkEnd w:id="17"/>
          </w:p>
        </w:tc>
        <w:tc>
          <w:tcPr>
            <w:tcW w:w="2271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1419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个</w:t>
            </w:r>
          </w:p>
        </w:tc>
        <w:tc>
          <w:tcPr>
            <w:tcW w:w="1562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exact"/>
          <w:jc w:val="center"/>
        </w:trPr>
        <w:tc>
          <w:tcPr>
            <w:tcW w:w="946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2413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bookmarkStart w:id="18" w:name="_Toc399238152"/>
            <w:r>
              <w:rPr>
                <w:rFonts w:hint="eastAsia"/>
                <w:szCs w:val="21"/>
              </w:rPr>
              <w:t>铁钩</w:t>
            </w:r>
            <w:bookmarkEnd w:id="18"/>
          </w:p>
        </w:tc>
        <w:tc>
          <w:tcPr>
            <w:tcW w:w="2271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1419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个</w:t>
            </w:r>
          </w:p>
        </w:tc>
        <w:tc>
          <w:tcPr>
            <w:tcW w:w="1562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exact"/>
          <w:jc w:val="center"/>
        </w:trPr>
        <w:tc>
          <w:tcPr>
            <w:tcW w:w="946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2413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防护手套</w:t>
            </w:r>
          </w:p>
        </w:tc>
        <w:tc>
          <w:tcPr>
            <w:tcW w:w="2271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1419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副</w:t>
            </w:r>
          </w:p>
        </w:tc>
        <w:tc>
          <w:tcPr>
            <w:tcW w:w="1562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exact"/>
          <w:jc w:val="center"/>
        </w:trPr>
        <w:tc>
          <w:tcPr>
            <w:tcW w:w="946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2413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电动扳手</w:t>
            </w:r>
          </w:p>
        </w:tc>
        <w:tc>
          <w:tcPr>
            <w:tcW w:w="2271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1419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把</w:t>
            </w:r>
          </w:p>
        </w:tc>
        <w:tc>
          <w:tcPr>
            <w:tcW w:w="1562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exact"/>
          <w:jc w:val="center"/>
        </w:trPr>
        <w:tc>
          <w:tcPr>
            <w:tcW w:w="946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2413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墨斗</w:t>
            </w:r>
          </w:p>
        </w:tc>
        <w:tc>
          <w:tcPr>
            <w:tcW w:w="2271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1419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个</w:t>
            </w:r>
          </w:p>
        </w:tc>
        <w:tc>
          <w:tcPr>
            <w:tcW w:w="1562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exact"/>
          <w:jc w:val="center"/>
        </w:trPr>
        <w:tc>
          <w:tcPr>
            <w:tcW w:w="946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2413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冲击钻</w:t>
            </w:r>
          </w:p>
        </w:tc>
        <w:tc>
          <w:tcPr>
            <w:tcW w:w="2271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10号钻头</w:t>
            </w:r>
          </w:p>
        </w:tc>
        <w:tc>
          <w:tcPr>
            <w:tcW w:w="1419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把</w:t>
            </w:r>
          </w:p>
        </w:tc>
        <w:tc>
          <w:tcPr>
            <w:tcW w:w="1562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exact"/>
          <w:jc w:val="center"/>
        </w:trPr>
        <w:tc>
          <w:tcPr>
            <w:tcW w:w="946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2413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激光水准仪</w:t>
            </w:r>
          </w:p>
        </w:tc>
        <w:tc>
          <w:tcPr>
            <w:tcW w:w="2271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1419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套</w:t>
            </w:r>
          </w:p>
        </w:tc>
        <w:tc>
          <w:tcPr>
            <w:tcW w:w="1562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</w:tbl>
    <w:p>
      <w:pPr>
        <w:autoSpaceDE/>
        <w:autoSpaceDN/>
        <w:spacing w:line="360" w:lineRule="auto"/>
        <w:ind w:firstLine="535" w:firstLineChars="223"/>
        <w:jc w:val="both"/>
        <w:rPr>
          <w:rFonts w:eastAsiaTheme="minorEastAsia"/>
          <w:kern w:val="2"/>
          <w:sz w:val="24"/>
          <w:szCs w:val="24"/>
          <w:lang w:bidi="ar-SA"/>
        </w:rPr>
      </w:pPr>
      <w:r>
        <w:rPr>
          <w:rFonts w:hint="eastAsia" w:eastAsiaTheme="minorEastAsia"/>
          <w:kern w:val="2"/>
          <w:sz w:val="24"/>
          <w:szCs w:val="24"/>
          <w:lang w:bidi="ar-SA"/>
        </w:rPr>
        <w:t>如参赛者所带工具不在自带工具范围之内，应向裁判组报告，经同意后方可使用。</w:t>
      </w:r>
    </w:p>
    <w:p>
      <w:pPr>
        <w:pStyle w:val="2"/>
        <w:autoSpaceDE/>
        <w:autoSpaceDN/>
        <w:spacing w:line="360" w:lineRule="auto"/>
        <w:jc w:val="both"/>
        <w:rPr>
          <w:rFonts w:ascii="黑体" w:hAnsi="黑体" w:eastAsia="黑体" w:cs="黑体"/>
          <w:b w:val="0"/>
          <w:sz w:val="24"/>
          <w:szCs w:val="24"/>
          <w:lang w:val="en-US" w:eastAsia="zh-CN" w:bidi="ar-SA"/>
        </w:rPr>
      </w:pPr>
      <w:bookmarkStart w:id="19" w:name="_Toc16024"/>
      <w:r>
        <w:rPr>
          <w:rFonts w:hint="eastAsia" w:ascii="黑体" w:hAnsi="黑体" w:eastAsia="黑体" w:cs="黑体"/>
          <w:b w:val="0"/>
          <w:sz w:val="24"/>
          <w:szCs w:val="24"/>
          <w:lang w:val="en-US" w:eastAsia="zh-CN" w:bidi="ar-SA"/>
        </w:rPr>
        <w:t>6.裁判用具</w:t>
      </w:r>
    </w:p>
    <w:p>
      <w:pPr>
        <w:autoSpaceDE/>
        <w:autoSpaceDN/>
        <w:spacing w:line="360" w:lineRule="auto"/>
        <w:ind w:firstLine="535" w:firstLineChars="223"/>
        <w:jc w:val="both"/>
        <w:rPr>
          <w:rFonts w:eastAsiaTheme="minorEastAsia"/>
          <w:kern w:val="2"/>
          <w:sz w:val="24"/>
          <w:szCs w:val="24"/>
          <w:lang w:bidi="ar-SA"/>
        </w:rPr>
      </w:pPr>
      <w:r>
        <w:rPr>
          <w:rFonts w:hint="eastAsia" w:eastAsiaTheme="minorEastAsia"/>
          <w:kern w:val="2"/>
          <w:sz w:val="24"/>
          <w:szCs w:val="24"/>
          <w:lang w:bidi="ar-SA"/>
        </w:rPr>
        <w:t>裁判用具由组委会提供。</w:t>
      </w:r>
    </w:p>
    <w:tbl>
      <w:tblPr>
        <w:tblStyle w:val="9"/>
        <w:tblpPr w:leftFromText="180" w:rightFromText="180" w:vertAnchor="text" w:horzAnchor="page" w:tblpX="1665" w:tblpY="200"/>
        <w:tblOverlap w:val="never"/>
        <w:tblW w:w="86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2"/>
        <w:gridCol w:w="2428"/>
        <w:gridCol w:w="2285"/>
        <w:gridCol w:w="1428"/>
        <w:gridCol w:w="15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exact"/>
        </w:trPr>
        <w:tc>
          <w:tcPr>
            <w:tcW w:w="952" w:type="dxa"/>
            <w:vAlign w:val="center"/>
          </w:tcPr>
          <w:p>
            <w:pPr>
              <w:widowControl/>
              <w:jc w:val="center"/>
              <w:textAlignment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序号</w:t>
            </w:r>
          </w:p>
        </w:tc>
        <w:tc>
          <w:tcPr>
            <w:tcW w:w="2428" w:type="dxa"/>
            <w:vAlign w:val="center"/>
          </w:tcPr>
          <w:p>
            <w:pPr>
              <w:widowControl/>
              <w:jc w:val="center"/>
              <w:textAlignment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名称</w:t>
            </w:r>
          </w:p>
        </w:tc>
        <w:tc>
          <w:tcPr>
            <w:tcW w:w="2285" w:type="dxa"/>
            <w:vAlign w:val="center"/>
          </w:tcPr>
          <w:p>
            <w:pPr>
              <w:widowControl/>
              <w:jc w:val="center"/>
              <w:textAlignment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规格</w:t>
            </w:r>
          </w:p>
        </w:tc>
        <w:tc>
          <w:tcPr>
            <w:tcW w:w="1428" w:type="dxa"/>
            <w:vAlign w:val="center"/>
          </w:tcPr>
          <w:p>
            <w:pPr>
              <w:widowControl/>
              <w:jc w:val="center"/>
              <w:textAlignment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单位</w:t>
            </w:r>
          </w:p>
        </w:tc>
        <w:tc>
          <w:tcPr>
            <w:tcW w:w="1572" w:type="dxa"/>
            <w:vAlign w:val="center"/>
          </w:tcPr>
          <w:p>
            <w:pPr>
              <w:widowControl/>
              <w:jc w:val="center"/>
              <w:textAlignment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exact"/>
        </w:trPr>
        <w:tc>
          <w:tcPr>
            <w:tcW w:w="952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2428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钢卷尺</w:t>
            </w:r>
          </w:p>
        </w:tc>
        <w:tc>
          <w:tcPr>
            <w:tcW w:w="2285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1428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把</w:t>
            </w:r>
          </w:p>
        </w:tc>
        <w:tc>
          <w:tcPr>
            <w:tcW w:w="1572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exact"/>
        </w:trPr>
        <w:tc>
          <w:tcPr>
            <w:tcW w:w="952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2428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激光水准仪</w:t>
            </w:r>
          </w:p>
        </w:tc>
        <w:tc>
          <w:tcPr>
            <w:tcW w:w="2285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1428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套</w:t>
            </w:r>
          </w:p>
        </w:tc>
        <w:tc>
          <w:tcPr>
            <w:tcW w:w="1572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exact"/>
        </w:trPr>
        <w:tc>
          <w:tcPr>
            <w:tcW w:w="952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2428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红黑签字笔</w:t>
            </w:r>
          </w:p>
        </w:tc>
        <w:tc>
          <w:tcPr>
            <w:tcW w:w="2285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1428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支</w:t>
            </w:r>
          </w:p>
        </w:tc>
        <w:tc>
          <w:tcPr>
            <w:tcW w:w="1572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exact"/>
        </w:trPr>
        <w:tc>
          <w:tcPr>
            <w:tcW w:w="952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2428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靠尺</w:t>
            </w:r>
          </w:p>
        </w:tc>
        <w:tc>
          <w:tcPr>
            <w:tcW w:w="2285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2m</w:t>
            </w:r>
          </w:p>
        </w:tc>
        <w:tc>
          <w:tcPr>
            <w:tcW w:w="1428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把</w:t>
            </w:r>
          </w:p>
        </w:tc>
        <w:tc>
          <w:tcPr>
            <w:tcW w:w="1572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exact"/>
        </w:trPr>
        <w:tc>
          <w:tcPr>
            <w:tcW w:w="952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2428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塞尺</w:t>
            </w:r>
          </w:p>
        </w:tc>
        <w:tc>
          <w:tcPr>
            <w:tcW w:w="2285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1428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把</w:t>
            </w:r>
          </w:p>
        </w:tc>
        <w:tc>
          <w:tcPr>
            <w:tcW w:w="1572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exact"/>
        </w:trPr>
        <w:tc>
          <w:tcPr>
            <w:tcW w:w="952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2428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防护手套</w:t>
            </w:r>
          </w:p>
        </w:tc>
        <w:tc>
          <w:tcPr>
            <w:tcW w:w="2285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1428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副</w:t>
            </w:r>
          </w:p>
        </w:tc>
        <w:tc>
          <w:tcPr>
            <w:tcW w:w="1572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exact"/>
        </w:trPr>
        <w:tc>
          <w:tcPr>
            <w:tcW w:w="952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2428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力矩扳手</w:t>
            </w:r>
          </w:p>
        </w:tc>
        <w:tc>
          <w:tcPr>
            <w:tcW w:w="2285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1428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把</w:t>
            </w:r>
          </w:p>
        </w:tc>
        <w:tc>
          <w:tcPr>
            <w:tcW w:w="1572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exact"/>
        </w:trPr>
        <w:tc>
          <w:tcPr>
            <w:tcW w:w="952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2428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3M口罩</w:t>
            </w:r>
          </w:p>
        </w:tc>
        <w:tc>
          <w:tcPr>
            <w:tcW w:w="2285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1428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</w:t>
            </w:r>
          </w:p>
        </w:tc>
        <w:tc>
          <w:tcPr>
            <w:tcW w:w="1572" w:type="dxa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</w:tr>
    </w:tbl>
    <w:p>
      <w:pPr>
        <w:jc w:val="center"/>
        <w:rPr>
          <w:b/>
          <w:sz w:val="24"/>
          <w:szCs w:val="24"/>
        </w:rPr>
      </w:pPr>
    </w:p>
    <w:bookmarkEnd w:id="19"/>
    <w:p>
      <w:pPr>
        <w:pStyle w:val="2"/>
        <w:autoSpaceDE/>
        <w:autoSpaceDN/>
        <w:spacing w:line="360" w:lineRule="auto"/>
        <w:jc w:val="both"/>
        <w:rPr>
          <w:rFonts w:ascii="黑体" w:hAnsi="黑体" w:eastAsia="黑体" w:cs="黑体"/>
          <w:b w:val="0"/>
          <w:sz w:val="24"/>
          <w:szCs w:val="24"/>
          <w:lang w:val="en-US" w:eastAsia="zh-CN" w:bidi="ar-SA"/>
        </w:rPr>
      </w:pPr>
      <w:bookmarkStart w:id="20" w:name="_Toc16394"/>
      <w:r>
        <w:rPr>
          <w:rFonts w:hint="eastAsia" w:ascii="黑体" w:hAnsi="黑体" w:eastAsia="黑体" w:cs="黑体"/>
          <w:b w:val="0"/>
          <w:sz w:val="24"/>
          <w:szCs w:val="24"/>
          <w:lang w:val="en-US" w:eastAsia="zh-CN" w:bidi="ar-SA"/>
        </w:rPr>
        <w:t>7.安全文明作业要求</w:t>
      </w:r>
      <w:bookmarkEnd w:id="20"/>
    </w:p>
    <w:p>
      <w:pPr>
        <w:autoSpaceDE/>
        <w:autoSpaceDN/>
        <w:spacing w:line="360" w:lineRule="auto"/>
        <w:ind w:firstLine="535" w:firstLineChars="223"/>
        <w:jc w:val="both"/>
        <w:rPr>
          <w:rFonts w:eastAsiaTheme="minorEastAsia"/>
          <w:kern w:val="2"/>
          <w:sz w:val="24"/>
          <w:szCs w:val="24"/>
          <w:lang w:bidi="ar-SA"/>
        </w:rPr>
      </w:pPr>
      <w:r>
        <w:rPr>
          <w:rFonts w:hint="eastAsia" w:eastAsiaTheme="minorEastAsia"/>
          <w:kern w:val="2"/>
          <w:sz w:val="24"/>
          <w:szCs w:val="24"/>
          <w:lang w:bidi="ar-SA"/>
        </w:rPr>
        <w:t>（1）每位选手自行配备个人防护用品，安全帽、安全带、安全眼镜</w:t>
      </w:r>
      <w:r>
        <w:rPr>
          <w:rFonts w:eastAsiaTheme="minorEastAsia"/>
          <w:kern w:val="2"/>
          <w:sz w:val="24"/>
          <w:szCs w:val="24"/>
          <w:lang w:bidi="ar-SA"/>
        </w:rPr>
        <w:t>、</w:t>
      </w:r>
      <w:r>
        <w:rPr>
          <w:rFonts w:hint="eastAsia" w:eastAsiaTheme="minorEastAsia"/>
          <w:kern w:val="2"/>
          <w:sz w:val="24"/>
          <w:szCs w:val="24"/>
          <w:lang w:bidi="ar-SA"/>
        </w:rPr>
        <w:t>安全</w:t>
      </w:r>
      <w:r>
        <w:rPr>
          <w:rFonts w:eastAsiaTheme="minorEastAsia"/>
          <w:kern w:val="2"/>
          <w:sz w:val="24"/>
          <w:szCs w:val="24"/>
          <w:lang w:bidi="ar-SA"/>
        </w:rPr>
        <w:t>手套、安全鞋</w:t>
      </w:r>
    </w:p>
    <w:p>
      <w:pPr>
        <w:autoSpaceDE/>
        <w:autoSpaceDN/>
        <w:spacing w:line="360" w:lineRule="auto"/>
        <w:ind w:firstLine="535" w:firstLineChars="223"/>
        <w:jc w:val="both"/>
        <w:rPr>
          <w:rFonts w:eastAsiaTheme="minorEastAsia"/>
          <w:kern w:val="2"/>
          <w:sz w:val="24"/>
          <w:szCs w:val="24"/>
          <w:lang w:bidi="ar-SA"/>
        </w:rPr>
      </w:pPr>
      <w:r>
        <w:rPr>
          <w:rFonts w:hint="eastAsia" w:eastAsiaTheme="minorEastAsia"/>
          <w:kern w:val="2"/>
          <w:sz w:val="24"/>
          <w:szCs w:val="24"/>
          <w:lang w:bidi="ar-SA"/>
        </w:rPr>
        <w:t>防护口罩等。</w:t>
      </w:r>
    </w:p>
    <w:p>
      <w:pPr>
        <w:autoSpaceDE/>
        <w:autoSpaceDN/>
        <w:spacing w:line="360" w:lineRule="auto"/>
        <w:ind w:firstLine="535" w:firstLineChars="223"/>
        <w:jc w:val="both"/>
        <w:rPr>
          <w:rFonts w:eastAsiaTheme="minorEastAsia"/>
          <w:kern w:val="2"/>
          <w:sz w:val="24"/>
          <w:szCs w:val="24"/>
          <w:lang w:bidi="ar-SA"/>
        </w:rPr>
      </w:pPr>
      <w:r>
        <w:rPr>
          <w:rFonts w:hint="eastAsia" w:eastAsiaTheme="minorEastAsia"/>
          <w:kern w:val="2"/>
          <w:sz w:val="24"/>
          <w:szCs w:val="24"/>
          <w:lang w:bidi="ar-SA"/>
        </w:rPr>
        <w:t>（</w:t>
      </w:r>
      <w:r>
        <w:rPr>
          <w:rFonts w:eastAsiaTheme="minorEastAsia"/>
          <w:kern w:val="2"/>
          <w:sz w:val="24"/>
          <w:szCs w:val="24"/>
          <w:lang w:bidi="ar-SA"/>
        </w:rPr>
        <w:t>2</w:t>
      </w:r>
      <w:r>
        <w:rPr>
          <w:rFonts w:hint="eastAsia" w:eastAsiaTheme="minorEastAsia"/>
          <w:kern w:val="2"/>
          <w:sz w:val="24"/>
          <w:szCs w:val="24"/>
          <w:lang w:bidi="ar-SA"/>
        </w:rPr>
        <w:t>）参赛选手在本竞赛工位内操作，避免伤害周边参赛选手。</w:t>
      </w:r>
    </w:p>
    <w:p>
      <w:pPr>
        <w:autoSpaceDE/>
        <w:autoSpaceDN/>
        <w:spacing w:line="360" w:lineRule="auto"/>
        <w:ind w:firstLine="535" w:firstLineChars="223"/>
        <w:jc w:val="both"/>
        <w:rPr>
          <w:rFonts w:eastAsiaTheme="minorEastAsia"/>
          <w:kern w:val="2"/>
          <w:sz w:val="24"/>
          <w:szCs w:val="24"/>
          <w:lang w:bidi="ar-SA"/>
        </w:rPr>
      </w:pPr>
      <w:r>
        <w:rPr>
          <w:rFonts w:hint="eastAsia" w:eastAsiaTheme="minorEastAsia"/>
          <w:kern w:val="2"/>
          <w:sz w:val="24"/>
          <w:szCs w:val="24"/>
          <w:lang w:bidi="ar-SA"/>
        </w:rPr>
        <w:t>（</w:t>
      </w:r>
      <w:r>
        <w:rPr>
          <w:rFonts w:eastAsiaTheme="minorEastAsia"/>
          <w:kern w:val="2"/>
          <w:sz w:val="24"/>
          <w:szCs w:val="24"/>
          <w:lang w:bidi="ar-SA"/>
        </w:rPr>
        <w:t>3</w:t>
      </w:r>
      <w:r>
        <w:rPr>
          <w:rFonts w:hint="eastAsia" w:eastAsiaTheme="minorEastAsia"/>
          <w:kern w:val="2"/>
          <w:sz w:val="24"/>
          <w:szCs w:val="24"/>
          <w:lang w:bidi="ar-SA"/>
        </w:rPr>
        <w:t>）高度注意切割安全，遵守机械操作规程，避免伤害自己和他人。</w:t>
      </w:r>
    </w:p>
    <w:p>
      <w:pPr>
        <w:autoSpaceDE/>
        <w:autoSpaceDN/>
        <w:spacing w:line="360" w:lineRule="auto"/>
        <w:ind w:firstLine="535" w:firstLineChars="223"/>
        <w:jc w:val="both"/>
        <w:rPr>
          <w:rFonts w:eastAsiaTheme="minorEastAsia"/>
          <w:kern w:val="2"/>
          <w:sz w:val="24"/>
          <w:szCs w:val="24"/>
          <w:lang w:bidi="ar-SA"/>
        </w:rPr>
      </w:pPr>
      <w:r>
        <w:rPr>
          <w:rFonts w:hint="eastAsia" w:eastAsiaTheme="minorEastAsia"/>
          <w:kern w:val="2"/>
          <w:sz w:val="24"/>
          <w:szCs w:val="24"/>
          <w:lang w:bidi="ar-SA"/>
        </w:rPr>
        <w:t>（</w:t>
      </w:r>
      <w:r>
        <w:rPr>
          <w:rFonts w:eastAsiaTheme="minorEastAsia"/>
          <w:kern w:val="2"/>
          <w:sz w:val="24"/>
          <w:szCs w:val="24"/>
          <w:lang w:bidi="ar-SA"/>
        </w:rPr>
        <w:t>4</w:t>
      </w:r>
      <w:r>
        <w:rPr>
          <w:rFonts w:hint="eastAsia" w:eastAsiaTheme="minorEastAsia"/>
          <w:kern w:val="2"/>
          <w:sz w:val="24"/>
          <w:szCs w:val="24"/>
          <w:lang w:bidi="ar-SA"/>
        </w:rPr>
        <w:t>）保持地面整洁，环境卫生，做到整理、整顿、清扫、清洁和素养（5S）。</w:t>
      </w:r>
    </w:p>
    <w:p>
      <w:pPr>
        <w:pStyle w:val="2"/>
        <w:autoSpaceDE/>
        <w:autoSpaceDN/>
        <w:spacing w:line="360" w:lineRule="auto"/>
        <w:jc w:val="both"/>
        <w:rPr>
          <w:rFonts w:ascii="黑体" w:hAnsi="黑体" w:eastAsia="黑体" w:cs="黑体"/>
          <w:b w:val="0"/>
          <w:sz w:val="24"/>
          <w:szCs w:val="24"/>
          <w:lang w:val="en-US" w:eastAsia="zh-CN" w:bidi="ar-SA"/>
        </w:rPr>
      </w:pPr>
      <w:bookmarkStart w:id="21" w:name="_Toc23044"/>
      <w:r>
        <w:rPr>
          <w:rFonts w:hint="eastAsia" w:ascii="黑体" w:hAnsi="黑体" w:eastAsia="黑体" w:cs="黑体"/>
          <w:b w:val="0"/>
          <w:sz w:val="24"/>
          <w:szCs w:val="24"/>
          <w:lang w:val="en-US" w:eastAsia="zh-CN" w:bidi="ar-SA"/>
        </w:rPr>
        <w:t>8.其</w:t>
      </w:r>
      <w:bookmarkEnd w:id="21"/>
      <w:r>
        <w:rPr>
          <w:rFonts w:hint="eastAsia" w:ascii="黑体" w:hAnsi="黑体" w:eastAsia="黑体" w:cs="黑体"/>
          <w:b w:val="0"/>
          <w:sz w:val="24"/>
          <w:szCs w:val="24"/>
          <w:lang w:val="en-US" w:eastAsia="zh-CN" w:bidi="ar-SA"/>
        </w:rPr>
        <w:t>他</w:t>
      </w:r>
      <w:bookmarkStart w:id="22" w:name="_Toc10294"/>
    </w:p>
    <w:p>
      <w:pPr>
        <w:autoSpaceDE/>
        <w:autoSpaceDN/>
        <w:spacing w:line="360" w:lineRule="auto"/>
        <w:ind w:firstLine="535" w:firstLineChars="223"/>
        <w:jc w:val="both"/>
        <w:rPr>
          <w:rFonts w:eastAsiaTheme="minorEastAsia"/>
          <w:kern w:val="2"/>
          <w:sz w:val="24"/>
          <w:szCs w:val="24"/>
          <w:lang w:bidi="ar-SA"/>
        </w:rPr>
      </w:pPr>
      <w:r>
        <w:rPr>
          <w:rFonts w:hint="eastAsia" w:eastAsiaTheme="minorEastAsia"/>
          <w:kern w:val="2"/>
          <w:sz w:val="24"/>
          <w:szCs w:val="24"/>
          <w:lang w:bidi="ar-SA"/>
        </w:rPr>
        <w:t>（1）竞赛流程。见竞赛指南、选手手册、裁判员手册，以上每一项手册都说明了竞赛流程；</w:t>
      </w:r>
    </w:p>
    <w:p>
      <w:pPr>
        <w:autoSpaceDE/>
        <w:autoSpaceDN/>
        <w:spacing w:line="360" w:lineRule="auto"/>
        <w:ind w:firstLine="535" w:firstLineChars="223"/>
        <w:jc w:val="both"/>
        <w:rPr>
          <w:rFonts w:eastAsiaTheme="minorEastAsia"/>
          <w:kern w:val="2"/>
          <w:sz w:val="24"/>
          <w:szCs w:val="24"/>
          <w:lang w:bidi="ar-SA"/>
        </w:rPr>
      </w:pPr>
      <w:r>
        <w:rPr>
          <w:rFonts w:hint="eastAsia" w:eastAsiaTheme="minorEastAsia"/>
          <w:kern w:val="2"/>
          <w:sz w:val="24"/>
          <w:szCs w:val="24"/>
          <w:lang w:bidi="ar-SA"/>
        </w:rPr>
        <w:t>（2）竞赛规则。见竞赛指南、选手手册、裁判员手册，以上每一项手册都说明了竞赛规则；</w:t>
      </w:r>
    </w:p>
    <w:p>
      <w:pPr>
        <w:autoSpaceDE/>
        <w:autoSpaceDN/>
        <w:spacing w:line="360" w:lineRule="auto"/>
        <w:ind w:firstLine="535" w:firstLineChars="223"/>
        <w:jc w:val="both"/>
        <w:rPr>
          <w:rFonts w:eastAsiaTheme="minorEastAsia"/>
          <w:kern w:val="2"/>
          <w:sz w:val="24"/>
          <w:szCs w:val="24"/>
          <w:lang w:bidi="ar-SA"/>
        </w:rPr>
      </w:pPr>
      <w:r>
        <w:rPr>
          <w:rFonts w:hint="eastAsia" w:eastAsiaTheme="minorEastAsia"/>
          <w:kern w:val="2"/>
          <w:sz w:val="24"/>
          <w:szCs w:val="24"/>
          <w:lang w:bidi="ar-SA"/>
        </w:rPr>
        <w:t>（3）本技术文件由本届擂台赛竞赛工作办公室下设的总裁组负责解释。</w:t>
      </w:r>
      <w:bookmarkEnd w:id="22"/>
    </w:p>
    <w:p/>
    <w:sectPr>
      <w:footerReference r:id="rId6" w:type="default"/>
      <w:pgSz w:w="11910" w:h="16840"/>
      <w:pgMar w:top="1134" w:right="1417" w:bottom="1134" w:left="1417" w:header="283" w:footer="992" w:gutter="0"/>
      <w:pgNumType w:fmt="decimal" w:start="1"/>
      <w:cols w:space="720" w:num="1"/>
      <w:docGrid w:type="lines"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dobe 黑体 Std R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文鼎大标宋简">
    <w:altName w:val="微软雅黑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imesNewRomanPSMT">
    <w:altName w:val="方正舒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end"/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before="0" w:line="14" w:lineRule="auto"/>
      <w:ind w:left="0"/>
      <w:rPr>
        <w:sz w:val="20"/>
      </w:rPr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3256280</wp:posOffset>
              </wp:positionH>
              <wp:positionV relativeFrom="page">
                <wp:posOffset>9920605</wp:posOffset>
              </wp:positionV>
              <wp:extent cx="1050925" cy="205740"/>
              <wp:effectExtent l="0" t="0" r="0" b="0"/>
              <wp:wrapNone/>
              <wp:docPr id="4097" name="矩形 40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50925" cy="20574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12"/>
                            <w:ind w:left="40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rPr>
                              <w:rFonts w:ascii="Times New Roman"/>
                              <w:sz w:val="18"/>
                            </w:rPr>
                            <w:t xml:space="preserve">第 </w:t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t>1</w:t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t xml:space="preserve"> 页 共 </w:t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t>14</w:t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t xml:space="preserve"> 页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256.4pt;margin-top:781.15pt;height:16.2pt;width:82.75pt;mso-position-horizontal-relative:page;mso-position-vertical-relative:page;z-index:-251657216;mso-width-relative:page;mso-height-relative:page;" filled="f" stroked="f" coordsize="21600,21600" o:gfxdata="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BfwGL+3AAAAA0BAAAPAAAAAAAAAAEAIAAAACIAAABkcnMvZG93bnJldi54bWxQSwECFAAUAAAA&#10;CACHTuJAhsuBx7EBAABfAwAADgAAAAAAAAABACAAAAArAQAAZHJzL2Uyb0RvYy54bWxQSwUGAAAA&#10;AAYABgBZAQAAT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2"/>
                      <w:ind w:left="40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sz w:val="18"/>
                      </w:rPr>
                      <w:t xml:space="preserve">第 </w:t>
                    </w:r>
                    <w:r>
                      <w:rPr>
                        <w:rFonts w:ascii="Times New Roman"/>
                        <w:sz w:val="18"/>
                      </w:rPr>
                      <w:fldChar w:fldCharType="begin"/>
                    </w:r>
                    <w:r>
                      <w:rPr>
                        <w:rFonts w:ascii="Times New Roman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ascii="Times New Roman"/>
                        <w:sz w:val="18"/>
                      </w:rPr>
                      <w:fldChar w:fldCharType="separate"/>
                    </w:r>
                    <w:r>
                      <w:rPr>
                        <w:rFonts w:ascii="Times New Roman"/>
                        <w:sz w:val="18"/>
                      </w:rPr>
                      <w:t>1</w:t>
                    </w:r>
                    <w:r>
                      <w:rPr>
                        <w:rFonts w:ascii="Times New Roman"/>
                        <w:sz w:val="18"/>
                      </w:rPr>
                      <w:fldChar w:fldCharType="end"/>
                    </w:r>
                    <w:r>
                      <w:rPr>
                        <w:rFonts w:ascii="Times New Roman"/>
                        <w:sz w:val="18"/>
                      </w:rPr>
                      <w:t xml:space="preserve"> 页 共 </w:t>
                    </w:r>
                    <w:r>
                      <w:rPr>
                        <w:rFonts w:ascii="Times New Roman"/>
                        <w:sz w:val="18"/>
                      </w:rPr>
                      <w:fldChar w:fldCharType="begin"/>
                    </w:r>
                    <w:r>
                      <w:rPr>
                        <w:rFonts w:ascii="Times New Roman"/>
                        <w:sz w:val="18"/>
                      </w:rPr>
                      <w:instrText xml:space="preserve"> NUMPAGES  \* MERGEFORMAT </w:instrText>
                    </w:r>
                    <w:r>
                      <w:rPr>
                        <w:rFonts w:ascii="Times New Roman"/>
                        <w:sz w:val="18"/>
                      </w:rPr>
                      <w:fldChar w:fldCharType="separate"/>
                    </w:r>
                    <w:r>
                      <w:rPr>
                        <w:rFonts w:ascii="Times New Roman"/>
                        <w:sz w:val="18"/>
                      </w:rPr>
                      <w:t>14</w:t>
                    </w:r>
                    <w:r>
                      <w:rPr>
                        <w:rFonts w:ascii="Times New Roman"/>
                        <w:sz w:val="18"/>
                      </w:rPr>
                      <w:fldChar w:fldCharType="end"/>
                    </w:r>
                    <w:r>
                      <w:rPr>
                        <w:rFonts w:ascii="Times New Roman"/>
                        <w:sz w:val="18"/>
                      </w:rPr>
                      <w:t xml:space="preserve"> 页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left"/>
    </w:pPr>
    <w:r>
      <w:drawing>
        <wp:inline distT="0" distB="0" distL="0" distR="0">
          <wp:extent cx="276225" cy="381000"/>
          <wp:effectExtent l="0" t="0" r="9525" b="0"/>
          <wp:docPr id="4" name="图片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762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</w:t>
    </w:r>
    <w:r>
      <w:rPr>
        <w:rFonts w:hint="eastAsia"/>
        <w:sz w:val="21"/>
        <w:szCs w:val="21"/>
      </w:rPr>
      <w:t>广州市第六届建筑工匠技能擂台赛技术文件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1"/>
      </w:pBdr>
    </w:pPr>
    <w:sdt>
      <w:sdtPr>
        <w:id w:val="-1067647031"/>
        <w:placeholder>
          <w:docPart w:val="C239F55B7E674B7EB86D4CC569846D1C"/>
        </w:placeholder>
        <w:temporary/>
        <w:showingPlcHdr/>
      </w:sdtPr>
      <w:sdtContent>
        <w:r>
          <w:rPr>
            <w:lang w:val="zh-CN"/>
          </w:rPr>
          <w:t>[键入文字]</w:t>
        </w:r>
      </w:sdtContent>
    </w:sdt>
    <w:r>
      <w:ptab w:relativeTo="margin" w:alignment="center" w:leader="none"/>
    </w:r>
    <w:sdt>
      <w:sdtPr>
        <w:id w:val="968859947"/>
        <w:placeholder>
          <w:docPart w:val="C239F55B7E674B7EB86D4CC569846D1C"/>
        </w:placeholder>
        <w:temporary/>
        <w:showingPlcHdr/>
      </w:sdtPr>
      <w:sdtContent>
        <w:r>
          <w:rPr>
            <w:lang w:val="zh-CN"/>
          </w:rPr>
          <w:t>[键入文字]</w:t>
        </w:r>
      </w:sdtContent>
    </w:sdt>
    <w:r>
      <w:ptab w:relativeTo="margin" w:alignment="right" w:leader="none"/>
    </w:r>
    <w:sdt>
      <w:sdtPr>
        <w:id w:val="968859952"/>
        <w:placeholder>
          <w:docPart w:val="C239F55B7E674B7EB86D4CC569846D1C"/>
        </w:placeholder>
        <w:temporary/>
        <w:showingPlcHdr/>
      </w:sdtPr>
      <w:sdtContent>
        <w:r>
          <w:rPr>
            <w:lang w:val="zh-CN"/>
          </w:rPr>
          <w:t>[键入文字]</w:t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976"/>
    <w:rsid w:val="00016464"/>
    <w:rsid w:val="00056945"/>
    <w:rsid w:val="00092724"/>
    <w:rsid w:val="000C2D1E"/>
    <w:rsid w:val="000E4855"/>
    <w:rsid w:val="00195819"/>
    <w:rsid w:val="001A2805"/>
    <w:rsid w:val="001C02AE"/>
    <w:rsid w:val="001C03B3"/>
    <w:rsid w:val="0022113F"/>
    <w:rsid w:val="0024696B"/>
    <w:rsid w:val="00291F84"/>
    <w:rsid w:val="0031598A"/>
    <w:rsid w:val="00324CA4"/>
    <w:rsid w:val="003F61BE"/>
    <w:rsid w:val="00406C79"/>
    <w:rsid w:val="00462CC7"/>
    <w:rsid w:val="004C7429"/>
    <w:rsid w:val="004E7C2F"/>
    <w:rsid w:val="005E3462"/>
    <w:rsid w:val="006C1E84"/>
    <w:rsid w:val="006F3AD2"/>
    <w:rsid w:val="00715780"/>
    <w:rsid w:val="00740B74"/>
    <w:rsid w:val="007A2630"/>
    <w:rsid w:val="00881361"/>
    <w:rsid w:val="008B453B"/>
    <w:rsid w:val="008E21D0"/>
    <w:rsid w:val="00923D73"/>
    <w:rsid w:val="00970327"/>
    <w:rsid w:val="00977C15"/>
    <w:rsid w:val="00A37BD0"/>
    <w:rsid w:val="00A90BA4"/>
    <w:rsid w:val="00AE1348"/>
    <w:rsid w:val="00B74A51"/>
    <w:rsid w:val="00B76976"/>
    <w:rsid w:val="00BB3C7D"/>
    <w:rsid w:val="00C0184D"/>
    <w:rsid w:val="00C51BEE"/>
    <w:rsid w:val="00DB30CE"/>
    <w:rsid w:val="00EB1830"/>
    <w:rsid w:val="00F1665D"/>
    <w:rsid w:val="00F44A55"/>
    <w:rsid w:val="00F608C2"/>
    <w:rsid w:val="00FC30A1"/>
    <w:rsid w:val="00FE26EE"/>
    <w:rsid w:val="00FF2DA1"/>
    <w:rsid w:val="04067121"/>
    <w:rsid w:val="0D6E388C"/>
    <w:rsid w:val="12B15F75"/>
    <w:rsid w:val="18C00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kern w:val="0"/>
      <w:sz w:val="22"/>
      <w:szCs w:val="22"/>
      <w:lang w:val="en-US" w:eastAsia="zh-CN" w:bidi="zh-CN"/>
    </w:rPr>
  </w:style>
  <w:style w:type="paragraph" w:styleId="2">
    <w:name w:val="heading 1"/>
    <w:basedOn w:val="1"/>
    <w:next w:val="1"/>
    <w:link w:val="14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  <w:szCs w:val="20"/>
      <w:lang w:val="zh-CN" w:eastAsia="zh-CN"/>
    </w:rPr>
  </w:style>
  <w:style w:type="paragraph" w:styleId="3">
    <w:name w:val="heading 2"/>
    <w:basedOn w:val="1"/>
    <w:next w:val="1"/>
    <w:link w:val="15"/>
    <w:qFormat/>
    <w:uiPriority w:val="0"/>
    <w:pPr>
      <w:ind w:left="818"/>
      <w:outlineLvl w:val="1"/>
    </w:pPr>
    <w:rPr>
      <w:sz w:val="30"/>
      <w:szCs w:val="30"/>
      <w:lang w:val="zh-CN" w:eastAsia="zh-CN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17"/>
    <w:qFormat/>
    <w:uiPriority w:val="1"/>
    <w:pPr>
      <w:spacing w:before="186"/>
      <w:ind w:left="218"/>
    </w:pPr>
    <w:rPr>
      <w:sz w:val="28"/>
      <w:szCs w:val="28"/>
      <w:lang w:val="zh-CN"/>
    </w:rPr>
  </w:style>
  <w:style w:type="paragraph" w:styleId="5">
    <w:name w:val="Balloon Text"/>
    <w:basedOn w:val="1"/>
    <w:link w:val="24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qFormat/>
    <w:uiPriority w:val="0"/>
    <w:pP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  <w:lang w:bidi="ar-SA"/>
    </w:rPr>
  </w:style>
  <w:style w:type="paragraph" w:styleId="7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  <w:lang w:bidi="ar-SA"/>
    </w:rPr>
  </w:style>
  <w:style w:type="paragraph" w:styleId="8">
    <w:name w:val="Normal (Web)"/>
    <w:basedOn w:val="1"/>
    <w:qFormat/>
    <w:uiPriority w:val="0"/>
    <w:pPr>
      <w:autoSpaceDE/>
      <w:autoSpaceDN/>
      <w:spacing w:beforeAutospacing="1" w:afterAutospacing="1"/>
    </w:pPr>
    <w:rPr>
      <w:rFonts w:cs="Times New Roman" w:asciiTheme="minorHAnsi" w:hAnsiTheme="minorHAnsi" w:eastAsiaTheme="minorEastAsia"/>
      <w:sz w:val="24"/>
      <w:szCs w:val="24"/>
      <w:lang w:bidi="ar-SA"/>
    </w:rPr>
  </w:style>
  <w:style w:type="character" w:styleId="11">
    <w:name w:val="page number"/>
    <w:basedOn w:val="10"/>
    <w:qFormat/>
    <w:uiPriority w:val="0"/>
  </w:style>
  <w:style w:type="character" w:styleId="12">
    <w:name w:val="FollowedHyperlink"/>
    <w:basedOn w:val="10"/>
    <w:semiHidden/>
    <w:unhideWhenUsed/>
    <w:uiPriority w:val="99"/>
    <w:rPr>
      <w:color w:val="800080"/>
      <w:u w:val="single"/>
    </w:rPr>
  </w:style>
  <w:style w:type="character" w:styleId="13">
    <w:name w:val="Hyperlink"/>
    <w:basedOn w:val="10"/>
    <w:semiHidden/>
    <w:unhideWhenUsed/>
    <w:uiPriority w:val="99"/>
    <w:rPr>
      <w:color w:val="0000FF"/>
      <w:u w:val="single"/>
    </w:rPr>
  </w:style>
  <w:style w:type="character" w:customStyle="1" w:styleId="14">
    <w:name w:val="标题 1 Char"/>
    <w:basedOn w:val="10"/>
    <w:link w:val="2"/>
    <w:uiPriority w:val="0"/>
    <w:rPr>
      <w:rFonts w:ascii="宋体" w:hAnsi="宋体" w:eastAsia="宋体" w:cs="宋体"/>
      <w:b/>
      <w:kern w:val="44"/>
      <w:sz w:val="44"/>
      <w:szCs w:val="20"/>
      <w:lang w:val="zh-CN" w:eastAsia="zh-CN" w:bidi="zh-CN"/>
    </w:rPr>
  </w:style>
  <w:style w:type="character" w:customStyle="1" w:styleId="15">
    <w:name w:val="标题 2 Char"/>
    <w:basedOn w:val="10"/>
    <w:link w:val="3"/>
    <w:uiPriority w:val="9"/>
    <w:rPr>
      <w:rFonts w:ascii="宋体" w:hAnsi="宋体" w:eastAsia="宋体" w:cs="宋体"/>
      <w:kern w:val="0"/>
      <w:sz w:val="30"/>
      <w:szCs w:val="30"/>
      <w:lang w:val="zh-CN" w:eastAsia="zh-CN" w:bidi="zh-CN"/>
    </w:rPr>
  </w:style>
  <w:style w:type="character" w:customStyle="1" w:styleId="16">
    <w:name w:val="页脚 Char"/>
    <w:link w:val="6"/>
    <w:uiPriority w:val="0"/>
    <w:rPr>
      <w:sz w:val="18"/>
      <w:szCs w:val="18"/>
    </w:rPr>
  </w:style>
  <w:style w:type="character" w:customStyle="1" w:styleId="17">
    <w:name w:val="正文文本 Char"/>
    <w:link w:val="4"/>
    <w:uiPriority w:val="1"/>
    <w:rPr>
      <w:rFonts w:ascii="宋体" w:hAnsi="宋体" w:eastAsia="宋体" w:cs="宋体"/>
      <w:kern w:val="0"/>
      <w:sz w:val="28"/>
      <w:szCs w:val="28"/>
      <w:lang w:val="zh-CN" w:bidi="zh-CN"/>
    </w:rPr>
  </w:style>
  <w:style w:type="character" w:customStyle="1" w:styleId="18">
    <w:name w:val="页眉 Char"/>
    <w:link w:val="7"/>
    <w:uiPriority w:val="99"/>
    <w:rPr>
      <w:sz w:val="18"/>
      <w:szCs w:val="18"/>
    </w:rPr>
  </w:style>
  <w:style w:type="character" w:customStyle="1" w:styleId="19">
    <w:name w:val="页脚 Char1"/>
    <w:basedOn w:val="10"/>
    <w:semiHidden/>
    <w:uiPriority w:val="99"/>
    <w:rPr>
      <w:rFonts w:ascii="宋体" w:hAnsi="宋体" w:eastAsia="宋体" w:cs="宋体"/>
      <w:kern w:val="0"/>
      <w:sz w:val="18"/>
      <w:szCs w:val="18"/>
      <w:lang w:bidi="zh-CN"/>
    </w:rPr>
  </w:style>
  <w:style w:type="character" w:customStyle="1" w:styleId="20">
    <w:name w:val="页眉 Char1"/>
    <w:basedOn w:val="10"/>
    <w:semiHidden/>
    <w:uiPriority w:val="99"/>
    <w:rPr>
      <w:rFonts w:ascii="宋体" w:hAnsi="宋体" w:eastAsia="宋体" w:cs="宋体"/>
      <w:kern w:val="0"/>
      <w:sz w:val="18"/>
      <w:szCs w:val="18"/>
      <w:lang w:bidi="zh-CN"/>
    </w:rPr>
  </w:style>
  <w:style w:type="character" w:customStyle="1" w:styleId="21">
    <w:name w:val="正文文本 Char1"/>
    <w:basedOn w:val="10"/>
    <w:semiHidden/>
    <w:uiPriority w:val="99"/>
    <w:rPr>
      <w:rFonts w:ascii="宋体" w:hAnsi="宋体" w:eastAsia="宋体" w:cs="宋体"/>
      <w:kern w:val="0"/>
      <w:sz w:val="22"/>
      <w:lang w:bidi="zh-CN"/>
    </w:rPr>
  </w:style>
  <w:style w:type="paragraph" w:customStyle="1" w:styleId="22">
    <w:name w:val="列出段落1"/>
    <w:basedOn w:val="1"/>
    <w:qFormat/>
    <w:uiPriority w:val="0"/>
    <w:pPr>
      <w:ind w:firstLine="420" w:firstLineChars="200"/>
    </w:pPr>
  </w:style>
  <w:style w:type="paragraph" w:customStyle="1" w:styleId="23">
    <w:name w:val="Text"/>
    <w:basedOn w:val="1"/>
    <w:qFormat/>
    <w:uiPriority w:val="0"/>
    <w:pPr>
      <w:widowControl/>
      <w:overflowPunct w:val="0"/>
      <w:adjustRightInd w:val="0"/>
      <w:spacing w:line="360" w:lineRule="atLeast"/>
      <w:ind w:firstLine="540"/>
      <w:textAlignment w:val="baseline"/>
    </w:pPr>
    <w:rPr>
      <w:spacing w:val="-5"/>
    </w:rPr>
  </w:style>
  <w:style w:type="character" w:customStyle="1" w:styleId="24">
    <w:name w:val="批注框文本 Char"/>
    <w:basedOn w:val="10"/>
    <w:link w:val="5"/>
    <w:semiHidden/>
    <w:uiPriority w:val="99"/>
    <w:rPr>
      <w:rFonts w:ascii="宋体" w:hAnsi="宋体" w:eastAsia="宋体" w:cs="宋体"/>
      <w:kern w:val="0"/>
      <w:sz w:val="18"/>
      <w:szCs w:val="18"/>
      <w:lang w:bidi="zh-CN"/>
    </w:rPr>
  </w:style>
  <w:style w:type="paragraph" w:styleId="25">
    <w:name w:val="List Paragraph"/>
    <w:basedOn w:val="1"/>
    <w:qFormat/>
    <w:uiPriority w:val="34"/>
    <w:pPr>
      <w:autoSpaceDE/>
      <w:autoSpaceDN/>
      <w:ind w:firstLine="420" w:firstLineChars="200"/>
      <w:jc w:val="both"/>
    </w:pPr>
    <w:rPr>
      <w:rFonts w:asciiTheme="minorHAnsi" w:hAnsiTheme="minorHAnsi" w:eastAsiaTheme="minorEastAsia" w:cstheme="minorBidi"/>
      <w:kern w:val="2"/>
      <w:sz w:val="21"/>
      <w:szCs w:val="24"/>
      <w:lang w:bidi="ar-SA"/>
    </w:rPr>
  </w:style>
  <w:style w:type="paragraph" w:customStyle="1" w:styleId="26">
    <w:name w:val="xl6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sz w:val="24"/>
      <w:szCs w:val="24"/>
      <w:lang w:bidi="ar-SA"/>
    </w:rPr>
  </w:style>
  <w:style w:type="paragraph" w:customStyle="1" w:styleId="27">
    <w:name w:val="xl6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utoSpaceDE/>
      <w:autoSpaceDN/>
      <w:spacing w:before="100" w:beforeAutospacing="1" w:after="100" w:afterAutospacing="1"/>
      <w:jc w:val="center"/>
      <w:textAlignment w:val="center"/>
    </w:pPr>
    <w:rPr>
      <w:sz w:val="20"/>
      <w:szCs w:val="20"/>
      <w:lang w:bidi="ar-SA"/>
    </w:rPr>
  </w:style>
  <w:style w:type="paragraph" w:customStyle="1" w:styleId="28">
    <w:name w:val="xl67"/>
    <w:basedOn w:val="1"/>
    <w:uiPriority w:val="0"/>
    <w:pPr>
      <w:widowControl/>
      <w:autoSpaceDE/>
      <w:autoSpaceDN/>
      <w:spacing w:before="100" w:beforeAutospacing="1" w:after="100" w:afterAutospacing="1"/>
      <w:jc w:val="center"/>
      <w:textAlignment w:val="center"/>
    </w:pPr>
    <w:rPr>
      <w:sz w:val="20"/>
      <w:szCs w:val="20"/>
      <w:lang w:bidi="ar-SA"/>
    </w:rPr>
  </w:style>
  <w:style w:type="paragraph" w:customStyle="1" w:styleId="29">
    <w:name w:val="xl68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autoSpaceDE/>
      <w:autoSpaceDN/>
      <w:spacing w:before="100" w:beforeAutospacing="1" w:after="100" w:afterAutospacing="1"/>
      <w:jc w:val="center"/>
      <w:textAlignment w:val="center"/>
    </w:pPr>
    <w:rPr>
      <w:sz w:val="20"/>
      <w:szCs w:val="20"/>
      <w:lang w:bidi="ar-SA"/>
    </w:rPr>
  </w:style>
  <w:style w:type="paragraph" w:customStyle="1" w:styleId="30">
    <w:name w:val="xl69"/>
    <w:basedOn w:val="1"/>
    <w:uiPriority w:val="0"/>
    <w:pPr>
      <w:widowControl/>
      <w:autoSpaceDE/>
      <w:autoSpaceDN/>
      <w:spacing w:before="100" w:beforeAutospacing="1" w:after="100" w:afterAutospacing="1"/>
      <w:textAlignment w:val="center"/>
    </w:pPr>
    <w:rPr>
      <w:sz w:val="20"/>
      <w:szCs w:val="20"/>
      <w:lang w:bidi="ar-SA"/>
    </w:rPr>
  </w:style>
  <w:style w:type="paragraph" w:customStyle="1" w:styleId="31">
    <w:name w:val="xl70"/>
    <w:basedOn w:val="1"/>
    <w:uiPriority w:val="0"/>
    <w:pPr>
      <w:widowControl/>
      <w:autoSpaceDE/>
      <w:autoSpaceDN/>
      <w:spacing w:before="100" w:beforeAutospacing="1" w:after="100" w:afterAutospacing="1"/>
      <w:jc w:val="center"/>
      <w:textAlignment w:val="center"/>
    </w:pPr>
    <w:rPr>
      <w:sz w:val="20"/>
      <w:szCs w:val="20"/>
      <w:lang w:bidi="ar-SA"/>
    </w:rPr>
  </w:style>
  <w:style w:type="paragraph" w:customStyle="1" w:styleId="32">
    <w:name w:val="xl71"/>
    <w:basedOn w:val="1"/>
    <w:uiPriority w:val="0"/>
    <w:pPr>
      <w:widowControl/>
      <w:autoSpaceDE/>
      <w:autoSpaceDN/>
      <w:spacing w:before="100" w:beforeAutospacing="1" w:after="100" w:afterAutospacing="1"/>
      <w:jc w:val="center"/>
      <w:textAlignment w:val="center"/>
    </w:pPr>
    <w:rPr>
      <w:sz w:val="20"/>
      <w:szCs w:val="20"/>
      <w:lang w:bidi="ar-SA"/>
    </w:rPr>
  </w:style>
  <w:style w:type="paragraph" w:customStyle="1" w:styleId="33">
    <w:name w:val="xl7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34">
    <w:name w:val="xl7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utoSpaceDE/>
      <w:autoSpaceDN/>
      <w:spacing w:before="100" w:beforeAutospacing="1" w:after="100" w:afterAutospacing="1"/>
      <w:textAlignment w:val="center"/>
    </w:pPr>
    <w:rPr>
      <w:rFonts w:ascii="微软雅黑" w:hAnsi="微软雅黑" w:eastAsia="微软雅黑"/>
      <w:b/>
      <w:bCs/>
      <w:sz w:val="24"/>
      <w:szCs w:val="24"/>
      <w:lang w:bidi="ar-SA"/>
    </w:rPr>
  </w:style>
  <w:style w:type="paragraph" w:customStyle="1" w:styleId="35">
    <w:name w:val="xl7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sz w:val="24"/>
      <w:szCs w:val="24"/>
      <w:lang w:bidi="ar-SA"/>
    </w:rPr>
  </w:style>
  <w:style w:type="paragraph" w:customStyle="1" w:styleId="36">
    <w:name w:val="xl7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utoSpaceDE/>
      <w:autoSpaceDN/>
      <w:spacing w:before="100" w:beforeAutospacing="1" w:after="100" w:afterAutospacing="1"/>
      <w:textAlignment w:val="center"/>
    </w:pPr>
    <w:rPr>
      <w:sz w:val="20"/>
      <w:szCs w:val="20"/>
      <w:lang w:bidi="ar-SA"/>
    </w:rPr>
  </w:style>
  <w:style w:type="paragraph" w:customStyle="1" w:styleId="37">
    <w:name w:val="xl7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utoSpaceDE/>
      <w:autoSpaceDN/>
      <w:spacing w:before="100" w:beforeAutospacing="1" w:after="100" w:afterAutospacing="1"/>
      <w:jc w:val="center"/>
      <w:textAlignment w:val="center"/>
    </w:pPr>
    <w:rPr>
      <w:sz w:val="20"/>
      <w:szCs w:val="20"/>
      <w:lang w:bidi="ar-SA"/>
    </w:rPr>
  </w:style>
  <w:style w:type="paragraph" w:customStyle="1" w:styleId="38">
    <w:name w:val="xl7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39">
    <w:name w:val="xl7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sz w:val="24"/>
      <w:szCs w:val="24"/>
      <w:lang w:bidi="ar-SA"/>
    </w:rPr>
  </w:style>
  <w:style w:type="paragraph" w:customStyle="1" w:styleId="40">
    <w:name w:val="xl7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sz w:val="24"/>
      <w:szCs w:val="24"/>
      <w:lang w:bidi="ar-SA"/>
    </w:rPr>
  </w:style>
  <w:style w:type="paragraph" w:customStyle="1" w:styleId="41">
    <w:name w:val="xl8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sz w:val="20"/>
      <w:szCs w:val="20"/>
      <w:lang w:bidi="ar-SA"/>
    </w:rPr>
  </w:style>
  <w:style w:type="paragraph" w:customStyle="1" w:styleId="42">
    <w:name w:val="xl8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sz w:val="24"/>
      <w:szCs w:val="24"/>
      <w:lang w:bidi="ar-SA"/>
    </w:rPr>
  </w:style>
  <w:style w:type="paragraph" w:customStyle="1" w:styleId="43">
    <w:name w:val="xl8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44">
    <w:name w:val="xl83"/>
    <w:basedOn w:val="1"/>
    <w:uiPriority w:val="0"/>
    <w:pPr>
      <w:widowControl/>
      <w:pBdr>
        <w:top w:val="single" w:color="auto" w:sz="4" w:space="0"/>
        <w:bottom w:val="single" w:color="auto" w:sz="4" w:space="0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45">
    <w:name w:val="xl84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46">
    <w:name w:val="xl8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Adobe 黑体 Std R" w:eastAsia="Adobe 黑体 Std R"/>
      <w:sz w:val="24"/>
      <w:szCs w:val="24"/>
      <w:lang w:bidi="ar-SA"/>
    </w:rPr>
  </w:style>
  <w:style w:type="paragraph" w:customStyle="1" w:styleId="47">
    <w:name w:val="xl8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utoSpaceDE/>
      <w:autoSpaceDN/>
      <w:spacing w:before="100" w:beforeAutospacing="1" w:after="100" w:afterAutospacing="1"/>
      <w:textAlignment w:val="center"/>
    </w:pPr>
    <w:rPr>
      <w:rFonts w:ascii="Adobe 黑体 Std R" w:eastAsia="Adobe 黑体 Std R"/>
      <w:sz w:val="24"/>
      <w:szCs w:val="24"/>
      <w:lang w:bidi="ar-SA"/>
    </w:rPr>
  </w:style>
  <w:style w:type="paragraph" w:customStyle="1" w:styleId="48">
    <w:name w:val="xl8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utoSpaceDE/>
      <w:autoSpaceDN/>
      <w:spacing w:before="100" w:beforeAutospacing="1" w:after="100" w:afterAutospacing="1"/>
      <w:textAlignment w:val="center"/>
    </w:pPr>
    <w:rPr>
      <w:rFonts w:ascii="微软雅黑" w:hAnsi="微软雅黑" w:eastAsia="微软雅黑"/>
      <w:b/>
      <w:bCs/>
      <w:color w:val="FF0000"/>
      <w:sz w:val="24"/>
      <w:szCs w:val="24"/>
      <w:lang w:bidi="ar-SA"/>
    </w:rPr>
  </w:style>
  <w:style w:type="paragraph" w:customStyle="1" w:styleId="49">
    <w:name w:val="xl8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utoSpaceDE/>
      <w:autoSpaceDN/>
      <w:spacing w:before="100" w:beforeAutospacing="1" w:after="100" w:afterAutospacing="1"/>
      <w:jc w:val="center"/>
      <w:textAlignment w:val="top"/>
    </w:pPr>
    <w:rPr>
      <w:rFonts w:ascii="黑体" w:hAnsi="黑体" w:eastAsia="黑体"/>
      <w:b/>
      <w:bCs/>
      <w:sz w:val="40"/>
      <w:szCs w:val="40"/>
      <w:lang w:bidi="ar-SA"/>
    </w:rPr>
  </w:style>
  <w:style w:type="paragraph" w:customStyle="1" w:styleId="50">
    <w:name w:val="xl8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utoSpaceDE/>
      <w:autoSpaceDN/>
      <w:spacing w:before="100" w:beforeAutospacing="1" w:after="100" w:afterAutospacing="1"/>
      <w:jc w:val="center"/>
      <w:textAlignment w:val="top"/>
    </w:pPr>
    <w:rPr>
      <w:rFonts w:ascii="黑体" w:hAnsi="黑体" w:eastAsia="黑体"/>
      <w:sz w:val="40"/>
      <w:szCs w:val="40"/>
      <w:lang w:bidi="ar-SA"/>
    </w:rPr>
  </w:style>
  <w:style w:type="paragraph" w:customStyle="1" w:styleId="51">
    <w:name w:val="xl9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utoSpaceDE/>
      <w:autoSpaceDN/>
      <w:spacing w:before="100" w:beforeAutospacing="1" w:after="100" w:afterAutospacing="1"/>
      <w:jc w:val="center"/>
      <w:textAlignment w:val="top"/>
    </w:pPr>
    <w:rPr>
      <w:rFonts w:ascii="黑体" w:hAnsi="黑体" w:eastAsia="黑体"/>
      <w:b/>
      <w:bCs/>
      <w:sz w:val="40"/>
      <w:szCs w:val="40"/>
      <w:lang w:bidi="ar-SA"/>
    </w:rPr>
  </w:style>
  <w:style w:type="paragraph" w:customStyle="1" w:styleId="52">
    <w:name w:val="xl9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utoSpaceDE/>
      <w:autoSpaceDN/>
      <w:spacing w:before="100" w:beforeAutospacing="1" w:after="100" w:afterAutospacing="1"/>
      <w:textAlignment w:val="center"/>
    </w:pPr>
    <w:rPr>
      <w:b/>
      <w:bCs/>
      <w:sz w:val="24"/>
      <w:szCs w:val="24"/>
      <w:lang w:bidi="ar-SA"/>
    </w:rPr>
  </w:style>
  <w:style w:type="paragraph" w:customStyle="1" w:styleId="53">
    <w:name w:val="xl9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  <w:lang w:bidi="ar-SA"/>
    </w:rPr>
  </w:style>
  <w:style w:type="paragraph" w:customStyle="1" w:styleId="54">
    <w:name w:val="xl9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utoSpaceDE/>
      <w:autoSpaceDN/>
      <w:spacing w:before="100" w:beforeAutospacing="1" w:after="100" w:afterAutospacing="1"/>
      <w:textAlignment w:val="center"/>
    </w:pPr>
    <w:rPr>
      <w:b/>
      <w:bCs/>
      <w:sz w:val="24"/>
      <w:szCs w:val="24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glossaryDocument" Target="glossary/document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e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C239F55B7E674B7EB86D4CC569846D1C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9C74124-6B45-4079-9DD5-3A474429852E}"/>
      </w:docPartPr>
      <w:docPartBody>
        <w:p>
          <w:pPr>
            <w:pStyle w:val="7"/>
          </w:pPr>
          <w:r>
            <w:rPr>
              <w:lang w:val="zh-CN"/>
            </w:rPr>
            <w:t>[键入文字]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178"/>
    <w:rsid w:val="00113178"/>
    <w:rsid w:val="00132304"/>
    <w:rsid w:val="00281CA7"/>
    <w:rsid w:val="003F55FE"/>
    <w:rsid w:val="004B4A83"/>
    <w:rsid w:val="00507D64"/>
    <w:rsid w:val="00545A49"/>
    <w:rsid w:val="00763861"/>
    <w:rsid w:val="00953C57"/>
    <w:rsid w:val="009C7DCF"/>
    <w:rsid w:val="00A956F1"/>
    <w:rsid w:val="00C120A3"/>
    <w:rsid w:val="00D246DC"/>
    <w:rsid w:val="00F2060C"/>
    <w:rsid w:val="00FE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1" w:name="Default Paragraph Font"/>
    <w:lsdException w:qFormat="1" w:uiPriority="99" w:name="Normal Table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2CD5ED27EE44BCDAB5B49EBA4B73DF0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">
    <w:name w:val="65426E6DAE024AA18A2FEEEDCC860156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">
    <w:name w:val="675437601BDE46F5A3581B5238732C70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">
    <w:name w:val="C239F55B7E674B7EB86D4CC569846D1C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1351</Words>
  <Characters>7707</Characters>
  <Lines>64</Lines>
  <Paragraphs>18</Paragraphs>
  <TotalTime>17</TotalTime>
  <ScaleCrop>false</ScaleCrop>
  <LinksUpToDate>false</LinksUpToDate>
  <CharactersWithSpaces>9040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2021-04-09T07:56:00Z</dcterms:created>
  <dc:creator>邓文创</dc:creator>
  <cp:lastModifiedBy>刘佩</cp:lastModifiedBy>
  <dcterms:modified xsi:type="dcterms:W3CDTF">2021-08-03T03:12:13Z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2535CDF0C69A493A94051F89FE52511D</vt:lpwstr>
  </property>
</Properties>
</file>